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AC05" w14:textId="77777777" w:rsidR="00321A19" w:rsidRDefault="00321A19" w:rsidP="00321A19">
      <w:pPr>
        <w:pStyle w:val="OMBInfo"/>
      </w:pPr>
      <w:r>
        <w:t>OMB No. 0925-0001/0002 (Rev. 08/12 Approved Through 8/31/2015)</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163327D1" w:rsidR="002B7443" w:rsidRPr="00D3779E" w:rsidRDefault="002B7443" w:rsidP="002B7443">
      <w:pPr>
        <w:pStyle w:val="FormFieldCaption1"/>
        <w:pBdr>
          <w:between w:val="single" w:sz="4" w:space="1" w:color="auto"/>
        </w:pBdr>
        <w:rPr>
          <w:sz w:val="32"/>
        </w:rPr>
      </w:pPr>
      <w:r w:rsidRPr="00D3779E">
        <w:rPr>
          <w:sz w:val="22"/>
        </w:rPr>
        <w:t>NAME:</w:t>
      </w:r>
      <w:r w:rsidR="00BA3998">
        <w:rPr>
          <w:sz w:val="22"/>
        </w:rPr>
        <w:t xml:space="preserve"> Lunsford, Keri Elizabeth, MD, PhD</w:t>
      </w:r>
      <w:r w:rsidR="006723FB">
        <w:rPr>
          <w:sz w:val="22"/>
        </w:rPr>
        <w:t>, FACS</w:t>
      </w:r>
    </w:p>
    <w:p w14:paraId="7FFF41C1" w14:textId="77A6D076"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4F4CA5">
        <w:rPr>
          <w:sz w:val="22"/>
        </w:rPr>
        <w:t xml:space="preserve"> </w:t>
      </w:r>
      <w:r w:rsidR="006723FB">
        <w:rPr>
          <w:sz w:val="22"/>
        </w:rPr>
        <w:t>KELunsford</w:t>
      </w:r>
    </w:p>
    <w:p w14:paraId="74873D9A" w14:textId="0F6F8C5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BA3998">
        <w:rPr>
          <w:sz w:val="22"/>
        </w:rPr>
        <w:t xml:space="preserve"> </w:t>
      </w:r>
      <w:r w:rsidR="00FC6118">
        <w:rPr>
          <w:sz w:val="22"/>
        </w:rPr>
        <w:t>Assistant Professor of Surgery</w:t>
      </w:r>
    </w:p>
    <w:p w14:paraId="035344DF" w14:textId="571DC801" w:rsidR="002B7443" w:rsidRPr="00FC6118" w:rsidRDefault="002B7443" w:rsidP="00FC6118">
      <w:pPr>
        <w:pStyle w:val="FormFieldCaption1"/>
        <w:pBdr>
          <w:between w:val="single" w:sz="4" w:space="1" w:color="auto"/>
        </w:pBdr>
        <w:spacing w:after="0"/>
        <w:rPr>
          <w:sz w:val="20"/>
          <w:szCs w:val="20"/>
        </w:rPr>
      </w:pPr>
      <w:r w:rsidRPr="00FC6118">
        <w:rPr>
          <w:sz w:val="20"/>
          <w:szCs w:val="20"/>
        </w:rPr>
        <w:t xml:space="preserve">EDUCATION/TRAINING </w:t>
      </w:r>
      <w:r w:rsidRPr="00FC6118">
        <w:rPr>
          <w:rStyle w:val="Emphasis"/>
          <w:sz w:val="20"/>
          <w:szCs w:val="20"/>
        </w:rPr>
        <w:t>(Begin with baccalaureate or other initial professional education, such as nursing, include postdoctoral training and residency training if applicable.</w:t>
      </w:r>
      <w:r w:rsidR="00C1247F" w:rsidRPr="00FC6118">
        <w:rPr>
          <w:rStyle w:val="Emphasis"/>
          <w:sz w:val="20"/>
          <w:szCs w:val="20"/>
        </w:rPr>
        <w:t xml:space="preserve"> Add/delete rows as necessary.</w:t>
      </w:r>
      <w:r w:rsidRPr="00FC6118">
        <w:rPr>
          <w:rStyle w:val="Emphasis"/>
          <w:sz w:val="20"/>
          <w:szCs w:val="20"/>
        </w:rPr>
        <w:t>)</w:t>
      </w:r>
    </w:p>
    <w:tbl>
      <w:tblPr>
        <w:tblStyle w:val="TableGrid"/>
        <w:tblW w:w="11072"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78"/>
        <w:gridCol w:w="1440"/>
        <w:gridCol w:w="1170"/>
        <w:gridCol w:w="4484"/>
      </w:tblGrid>
      <w:tr w:rsidR="007425EA" w:rsidRPr="007425EA" w14:paraId="21BBC1F3" w14:textId="77777777" w:rsidTr="007425EA">
        <w:trPr>
          <w:cantSplit/>
          <w:tblHeader/>
        </w:trPr>
        <w:tc>
          <w:tcPr>
            <w:tcW w:w="3978" w:type="dxa"/>
            <w:tcBorders>
              <w:top w:val="single" w:sz="4" w:space="0" w:color="auto"/>
              <w:bottom w:val="single" w:sz="4" w:space="0" w:color="auto"/>
            </w:tcBorders>
            <w:vAlign w:val="center"/>
          </w:tcPr>
          <w:p w14:paraId="5DCFDE41" w14:textId="77777777" w:rsidR="00933173" w:rsidRPr="007425EA" w:rsidRDefault="00933173" w:rsidP="00BA3998">
            <w:pPr>
              <w:pStyle w:val="FormFieldCaption"/>
              <w:jc w:val="center"/>
              <w:rPr>
                <w:sz w:val="20"/>
                <w:szCs w:val="20"/>
              </w:rPr>
            </w:pPr>
            <w:r w:rsidRPr="007425EA">
              <w:rPr>
                <w:sz w:val="20"/>
                <w:szCs w:val="20"/>
              </w:rPr>
              <w:t>INSTITUTION AND LOCATION</w:t>
            </w:r>
          </w:p>
        </w:tc>
        <w:tc>
          <w:tcPr>
            <w:tcW w:w="1440" w:type="dxa"/>
            <w:tcBorders>
              <w:top w:val="single" w:sz="4" w:space="0" w:color="auto"/>
              <w:bottom w:val="single" w:sz="4" w:space="0" w:color="auto"/>
            </w:tcBorders>
            <w:vAlign w:val="center"/>
          </w:tcPr>
          <w:p w14:paraId="0A8E3E0E" w14:textId="77777777" w:rsidR="00933173" w:rsidRPr="007425EA" w:rsidRDefault="00933173" w:rsidP="00BA3998">
            <w:pPr>
              <w:pStyle w:val="FormFieldCaption"/>
              <w:jc w:val="center"/>
              <w:rPr>
                <w:sz w:val="20"/>
                <w:szCs w:val="20"/>
              </w:rPr>
            </w:pPr>
            <w:r w:rsidRPr="007425EA">
              <w:rPr>
                <w:sz w:val="20"/>
                <w:szCs w:val="20"/>
              </w:rPr>
              <w:t>DEGREE</w:t>
            </w:r>
          </w:p>
          <w:p w14:paraId="0DEF5BC8" w14:textId="77777777" w:rsidR="00933173" w:rsidRPr="007425EA" w:rsidRDefault="00933173" w:rsidP="00BA3998">
            <w:pPr>
              <w:pStyle w:val="FormFieldCaption"/>
              <w:jc w:val="center"/>
              <w:rPr>
                <w:rStyle w:val="Emphasis"/>
                <w:sz w:val="20"/>
                <w:szCs w:val="20"/>
              </w:rPr>
            </w:pPr>
            <w:r w:rsidRPr="007425EA">
              <w:rPr>
                <w:rStyle w:val="Emphasis"/>
                <w:sz w:val="20"/>
                <w:szCs w:val="20"/>
              </w:rPr>
              <w:t>(if applicable)</w:t>
            </w:r>
          </w:p>
          <w:p w14:paraId="32A0C014" w14:textId="77777777" w:rsidR="00933173" w:rsidRPr="007425EA" w:rsidRDefault="00933173" w:rsidP="00BA3998">
            <w:pPr>
              <w:pStyle w:val="FormFieldCaption"/>
              <w:rPr>
                <w:sz w:val="20"/>
                <w:szCs w:val="20"/>
              </w:rPr>
            </w:pPr>
          </w:p>
        </w:tc>
        <w:tc>
          <w:tcPr>
            <w:tcW w:w="1170" w:type="dxa"/>
            <w:tcBorders>
              <w:top w:val="single" w:sz="4" w:space="0" w:color="auto"/>
              <w:bottom w:val="single" w:sz="4" w:space="0" w:color="auto"/>
            </w:tcBorders>
            <w:vAlign w:val="center"/>
          </w:tcPr>
          <w:p w14:paraId="4ED3B33F" w14:textId="77777777" w:rsidR="00C1247F" w:rsidRPr="007425EA" w:rsidRDefault="00C1247F" w:rsidP="00BA3998">
            <w:pPr>
              <w:pStyle w:val="FormFieldCaption"/>
              <w:jc w:val="center"/>
              <w:rPr>
                <w:sz w:val="20"/>
                <w:szCs w:val="20"/>
              </w:rPr>
            </w:pPr>
            <w:r w:rsidRPr="007425EA">
              <w:rPr>
                <w:sz w:val="20"/>
                <w:szCs w:val="20"/>
              </w:rPr>
              <w:t>Completion Date</w:t>
            </w:r>
          </w:p>
          <w:p w14:paraId="76B4E15A" w14:textId="09B57E40" w:rsidR="00933173" w:rsidRPr="007425EA" w:rsidRDefault="00933173" w:rsidP="00BA3998">
            <w:pPr>
              <w:pStyle w:val="FormFieldCaption"/>
              <w:jc w:val="center"/>
              <w:rPr>
                <w:sz w:val="20"/>
                <w:szCs w:val="20"/>
              </w:rPr>
            </w:pPr>
            <w:r w:rsidRPr="007425EA">
              <w:rPr>
                <w:sz w:val="20"/>
                <w:szCs w:val="20"/>
              </w:rPr>
              <w:t>MM/YYYY</w:t>
            </w:r>
          </w:p>
          <w:p w14:paraId="143620A6" w14:textId="77777777" w:rsidR="00933173" w:rsidRPr="007425EA" w:rsidRDefault="00933173" w:rsidP="00BA3998">
            <w:pPr>
              <w:pStyle w:val="FormFieldCaption"/>
              <w:rPr>
                <w:sz w:val="20"/>
                <w:szCs w:val="20"/>
              </w:rPr>
            </w:pPr>
          </w:p>
        </w:tc>
        <w:tc>
          <w:tcPr>
            <w:tcW w:w="4484" w:type="dxa"/>
            <w:tcBorders>
              <w:top w:val="single" w:sz="4" w:space="0" w:color="auto"/>
              <w:bottom w:val="single" w:sz="4" w:space="0" w:color="auto"/>
            </w:tcBorders>
            <w:vAlign w:val="center"/>
          </w:tcPr>
          <w:p w14:paraId="7E87FA43" w14:textId="77777777" w:rsidR="00933173" w:rsidRPr="007425EA" w:rsidRDefault="00933173" w:rsidP="00BA3998">
            <w:pPr>
              <w:pStyle w:val="FormFieldCaption"/>
              <w:jc w:val="center"/>
              <w:rPr>
                <w:sz w:val="20"/>
                <w:szCs w:val="20"/>
              </w:rPr>
            </w:pPr>
            <w:r w:rsidRPr="007425EA">
              <w:rPr>
                <w:sz w:val="20"/>
                <w:szCs w:val="20"/>
              </w:rPr>
              <w:t>FIELD OF STUDY</w:t>
            </w:r>
          </w:p>
          <w:p w14:paraId="4198E5FC" w14:textId="77777777" w:rsidR="00933173" w:rsidRPr="007425EA" w:rsidRDefault="00933173" w:rsidP="00BA3998">
            <w:pPr>
              <w:pStyle w:val="FormFieldCaption"/>
              <w:rPr>
                <w:sz w:val="20"/>
                <w:szCs w:val="20"/>
              </w:rPr>
            </w:pPr>
          </w:p>
        </w:tc>
      </w:tr>
      <w:tr w:rsidR="007425EA" w:rsidRPr="007425EA" w14:paraId="5CD50646" w14:textId="77777777" w:rsidTr="007425EA">
        <w:trPr>
          <w:cantSplit/>
          <w:trHeight w:val="233"/>
        </w:trPr>
        <w:tc>
          <w:tcPr>
            <w:tcW w:w="3978" w:type="dxa"/>
            <w:tcBorders>
              <w:top w:val="single" w:sz="4" w:space="0" w:color="auto"/>
            </w:tcBorders>
          </w:tcPr>
          <w:p w14:paraId="3B0C531B" w14:textId="0A3EBB04" w:rsidR="00BA3998" w:rsidRPr="007425EA" w:rsidRDefault="00BA3998" w:rsidP="00BA3998">
            <w:pPr>
              <w:pStyle w:val="FormFieldCaption"/>
              <w:tabs>
                <w:tab w:val="clear" w:pos="270"/>
                <w:tab w:val="left" w:pos="1340"/>
              </w:tabs>
              <w:spacing w:before="20" w:after="20"/>
              <w:rPr>
                <w:sz w:val="20"/>
                <w:szCs w:val="20"/>
              </w:rPr>
            </w:pPr>
            <w:r w:rsidRPr="007425EA">
              <w:rPr>
                <w:sz w:val="20"/>
                <w:szCs w:val="20"/>
              </w:rPr>
              <w:t>Miami University, Oxford, Ohio</w:t>
            </w:r>
          </w:p>
        </w:tc>
        <w:tc>
          <w:tcPr>
            <w:tcW w:w="1440" w:type="dxa"/>
            <w:tcBorders>
              <w:top w:val="single" w:sz="4" w:space="0" w:color="auto"/>
            </w:tcBorders>
          </w:tcPr>
          <w:p w14:paraId="62DD05C1" w14:textId="23994E37" w:rsidR="00BA3998" w:rsidRPr="007425EA" w:rsidRDefault="00BA3998" w:rsidP="003E4A92">
            <w:pPr>
              <w:pStyle w:val="FormFieldCaption"/>
              <w:spacing w:before="20" w:after="20"/>
              <w:jc w:val="center"/>
              <w:rPr>
                <w:sz w:val="20"/>
                <w:szCs w:val="20"/>
              </w:rPr>
            </w:pPr>
            <w:r w:rsidRPr="007425EA">
              <w:rPr>
                <w:sz w:val="20"/>
                <w:szCs w:val="20"/>
              </w:rPr>
              <w:t>B.S.</w:t>
            </w:r>
          </w:p>
        </w:tc>
        <w:tc>
          <w:tcPr>
            <w:tcW w:w="1170" w:type="dxa"/>
            <w:tcBorders>
              <w:top w:val="single" w:sz="4" w:space="0" w:color="auto"/>
            </w:tcBorders>
          </w:tcPr>
          <w:p w14:paraId="543299E0" w14:textId="0F8A51C6" w:rsidR="00BA3998" w:rsidRPr="007425EA" w:rsidRDefault="00BA3998" w:rsidP="003E4A92">
            <w:pPr>
              <w:pStyle w:val="FormFieldCaption"/>
              <w:spacing w:before="20" w:after="20"/>
              <w:jc w:val="center"/>
              <w:rPr>
                <w:sz w:val="20"/>
                <w:szCs w:val="20"/>
              </w:rPr>
            </w:pPr>
            <w:r w:rsidRPr="007425EA">
              <w:rPr>
                <w:sz w:val="20"/>
                <w:szCs w:val="20"/>
              </w:rPr>
              <w:t>05/1999</w:t>
            </w:r>
          </w:p>
        </w:tc>
        <w:tc>
          <w:tcPr>
            <w:tcW w:w="4484" w:type="dxa"/>
            <w:tcBorders>
              <w:top w:val="single" w:sz="4" w:space="0" w:color="auto"/>
            </w:tcBorders>
          </w:tcPr>
          <w:p w14:paraId="7BC5582F" w14:textId="62123E10" w:rsidR="00BA3998" w:rsidRPr="007425EA" w:rsidRDefault="00BA3998" w:rsidP="00ED35D7">
            <w:pPr>
              <w:pStyle w:val="FormFieldCaption"/>
              <w:spacing w:before="20" w:after="20"/>
              <w:rPr>
                <w:sz w:val="20"/>
                <w:szCs w:val="20"/>
              </w:rPr>
            </w:pPr>
            <w:r w:rsidRPr="007425EA">
              <w:rPr>
                <w:sz w:val="20"/>
                <w:szCs w:val="20"/>
              </w:rPr>
              <w:t>Biochemistry</w:t>
            </w:r>
          </w:p>
        </w:tc>
      </w:tr>
      <w:tr w:rsidR="007425EA" w:rsidRPr="007425EA" w14:paraId="1515F345" w14:textId="77777777" w:rsidTr="007425EA">
        <w:trPr>
          <w:cantSplit/>
          <w:trHeight w:val="234"/>
        </w:trPr>
        <w:tc>
          <w:tcPr>
            <w:tcW w:w="3978" w:type="dxa"/>
          </w:tcPr>
          <w:p w14:paraId="7DED23E7" w14:textId="72BABC3C" w:rsidR="00BA3998" w:rsidRPr="007425EA" w:rsidRDefault="00BA3998" w:rsidP="007425EA">
            <w:pPr>
              <w:pStyle w:val="FormFieldCaption"/>
              <w:spacing w:before="20" w:after="20"/>
              <w:rPr>
                <w:sz w:val="20"/>
                <w:szCs w:val="20"/>
              </w:rPr>
            </w:pPr>
            <w:r w:rsidRPr="007425EA">
              <w:rPr>
                <w:sz w:val="20"/>
                <w:szCs w:val="20"/>
              </w:rPr>
              <w:t>The O</w:t>
            </w:r>
            <w:r w:rsidR="007425EA" w:rsidRPr="007425EA">
              <w:rPr>
                <w:sz w:val="20"/>
                <w:szCs w:val="20"/>
              </w:rPr>
              <w:t>hio State University</w:t>
            </w:r>
            <w:r w:rsidRPr="007425EA">
              <w:rPr>
                <w:sz w:val="20"/>
                <w:szCs w:val="20"/>
              </w:rPr>
              <w:t>, Columbus, OH</w:t>
            </w:r>
          </w:p>
        </w:tc>
        <w:tc>
          <w:tcPr>
            <w:tcW w:w="1440" w:type="dxa"/>
          </w:tcPr>
          <w:p w14:paraId="0D874BFC" w14:textId="6FE4D1E8" w:rsidR="00BA3998" w:rsidRPr="007425EA" w:rsidRDefault="00BA3998" w:rsidP="00BA3998">
            <w:pPr>
              <w:spacing w:before="20" w:after="20"/>
              <w:jc w:val="center"/>
              <w:rPr>
                <w:sz w:val="20"/>
                <w:szCs w:val="20"/>
              </w:rPr>
            </w:pPr>
            <w:r w:rsidRPr="007425EA">
              <w:rPr>
                <w:sz w:val="20"/>
                <w:szCs w:val="20"/>
              </w:rPr>
              <w:t>Ph.D.</w:t>
            </w:r>
          </w:p>
        </w:tc>
        <w:tc>
          <w:tcPr>
            <w:tcW w:w="1170" w:type="dxa"/>
          </w:tcPr>
          <w:p w14:paraId="1A7AA7CA" w14:textId="3BD09A13" w:rsidR="00BA3998" w:rsidRPr="007425EA" w:rsidRDefault="00BA3998" w:rsidP="003E4A92">
            <w:pPr>
              <w:pStyle w:val="FormFieldCaption"/>
              <w:spacing w:before="20" w:after="20"/>
              <w:jc w:val="center"/>
              <w:rPr>
                <w:sz w:val="20"/>
                <w:szCs w:val="20"/>
              </w:rPr>
            </w:pPr>
            <w:r w:rsidRPr="007425EA">
              <w:rPr>
                <w:sz w:val="20"/>
                <w:szCs w:val="20"/>
              </w:rPr>
              <w:t>06/2005</w:t>
            </w:r>
          </w:p>
        </w:tc>
        <w:tc>
          <w:tcPr>
            <w:tcW w:w="4484" w:type="dxa"/>
          </w:tcPr>
          <w:p w14:paraId="4CC74E5C" w14:textId="1D3AA4EE" w:rsidR="00BA3998" w:rsidRPr="007425EA" w:rsidRDefault="00BA3998" w:rsidP="00ED35D7">
            <w:pPr>
              <w:pStyle w:val="FormFieldCaption"/>
              <w:spacing w:before="20" w:after="20"/>
              <w:rPr>
                <w:sz w:val="20"/>
                <w:szCs w:val="20"/>
              </w:rPr>
            </w:pPr>
            <w:r w:rsidRPr="007425EA">
              <w:rPr>
                <w:sz w:val="20"/>
                <w:szCs w:val="20"/>
              </w:rPr>
              <w:t>Biomedical Science Emphasis in Immunology</w:t>
            </w:r>
          </w:p>
        </w:tc>
      </w:tr>
      <w:tr w:rsidR="007425EA" w:rsidRPr="007425EA" w14:paraId="51E27C1C" w14:textId="77777777" w:rsidTr="007425EA">
        <w:trPr>
          <w:cantSplit/>
          <w:trHeight w:val="216"/>
        </w:trPr>
        <w:tc>
          <w:tcPr>
            <w:tcW w:w="3978" w:type="dxa"/>
          </w:tcPr>
          <w:p w14:paraId="66BC8FF0" w14:textId="0D659C81" w:rsidR="00BA3998" w:rsidRPr="007425EA" w:rsidRDefault="007425EA" w:rsidP="007425EA">
            <w:pPr>
              <w:pStyle w:val="FormFieldCaption"/>
              <w:spacing w:before="20" w:after="20"/>
              <w:rPr>
                <w:sz w:val="20"/>
                <w:szCs w:val="20"/>
              </w:rPr>
            </w:pPr>
            <w:r w:rsidRPr="007425EA">
              <w:rPr>
                <w:sz w:val="20"/>
                <w:szCs w:val="20"/>
              </w:rPr>
              <w:t>The Ohio State University</w:t>
            </w:r>
            <w:r w:rsidR="00BA3998" w:rsidRPr="007425EA">
              <w:rPr>
                <w:sz w:val="20"/>
                <w:szCs w:val="20"/>
              </w:rPr>
              <w:t>, Columbus, OH</w:t>
            </w:r>
          </w:p>
        </w:tc>
        <w:tc>
          <w:tcPr>
            <w:tcW w:w="1440" w:type="dxa"/>
          </w:tcPr>
          <w:p w14:paraId="6AEADABA" w14:textId="57C71F29" w:rsidR="00BA3998" w:rsidRPr="007425EA" w:rsidRDefault="00BA3998" w:rsidP="00BA3998">
            <w:pPr>
              <w:spacing w:before="20" w:after="20"/>
              <w:jc w:val="center"/>
              <w:rPr>
                <w:sz w:val="20"/>
                <w:szCs w:val="20"/>
              </w:rPr>
            </w:pPr>
            <w:r w:rsidRPr="007425EA">
              <w:rPr>
                <w:sz w:val="20"/>
                <w:szCs w:val="20"/>
              </w:rPr>
              <w:t xml:space="preserve">M.D. </w:t>
            </w:r>
          </w:p>
        </w:tc>
        <w:tc>
          <w:tcPr>
            <w:tcW w:w="1170" w:type="dxa"/>
          </w:tcPr>
          <w:p w14:paraId="4ED60B07" w14:textId="2259837C" w:rsidR="00BA3998" w:rsidRPr="007425EA" w:rsidRDefault="00BA3998" w:rsidP="003E4A92">
            <w:pPr>
              <w:pStyle w:val="FormFieldCaption"/>
              <w:spacing w:before="20" w:after="20"/>
              <w:jc w:val="center"/>
              <w:rPr>
                <w:sz w:val="20"/>
                <w:szCs w:val="20"/>
              </w:rPr>
            </w:pPr>
            <w:r w:rsidRPr="007425EA">
              <w:rPr>
                <w:sz w:val="20"/>
                <w:szCs w:val="20"/>
              </w:rPr>
              <w:t>06/2007</w:t>
            </w:r>
          </w:p>
        </w:tc>
        <w:tc>
          <w:tcPr>
            <w:tcW w:w="4484" w:type="dxa"/>
          </w:tcPr>
          <w:p w14:paraId="2303550C" w14:textId="79762BC9" w:rsidR="00BA3998" w:rsidRPr="007425EA" w:rsidRDefault="00BA3998" w:rsidP="00ED35D7">
            <w:pPr>
              <w:pStyle w:val="FormFieldCaption"/>
              <w:spacing w:before="20" w:after="20"/>
              <w:rPr>
                <w:sz w:val="20"/>
                <w:szCs w:val="20"/>
              </w:rPr>
            </w:pPr>
            <w:r w:rsidRPr="007425EA">
              <w:rPr>
                <w:sz w:val="20"/>
                <w:szCs w:val="20"/>
              </w:rPr>
              <w:t>Medicine</w:t>
            </w:r>
          </w:p>
        </w:tc>
      </w:tr>
      <w:tr w:rsidR="007425EA" w:rsidRPr="007425EA" w14:paraId="40456702" w14:textId="77777777" w:rsidTr="007425EA">
        <w:trPr>
          <w:cantSplit/>
          <w:trHeight w:val="234"/>
        </w:trPr>
        <w:tc>
          <w:tcPr>
            <w:tcW w:w="3978" w:type="dxa"/>
          </w:tcPr>
          <w:p w14:paraId="2DC0BFCA" w14:textId="0E31B82A" w:rsidR="0060293C" w:rsidRPr="007425EA" w:rsidRDefault="0060293C" w:rsidP="007425EA">
            <w:pPr>
              <w:pStyle w:val="FormFieldCaption"/>
              <w:spacing w:before="20" w:after="20"/>
              <w:rPr>
                <w:sz w:val="20"/>
                <w:szCs w:val="20"/>
              </w:rPr>
            </w:pPr>
            <w:r w:rsidRPr="007425EA">
              <w:rPr>
                <w:sz w:val="20"/>
                <w:szCs w:val="20"/>
              </w:rPr>
              <w:t>Duke University, Durham, NC</w:t>
            </w:r>
          </w:p>
        </w:tc>
        <w:tc>
          <w:tcPr>
            <w:tcW w:w="1440" w:type="dxa"/>
          </w:tcPr>
          <w:p w14:paraId="568A7F60" w14:textId="6E38CA69" w:rsidR="0060293C" w:rsidRPr="007425EA" w:rsidRDefault="0060293C" w:rsidP="003E4A92">
            <w:pPr>
              <w:pStyle w:val="FormFieldCaption"/>
              <w:spacing w:before="20" w:after="20"/>
              <w:jc w:val="center"/>
              <w:rPr>
                <w:sz w:val="20"/>
                <w:szCs w:val="20"/>
              </w:rPr>
            </w:pPr>
            <w:r w:rsidRPr="007425EA">
              <w:rPr>
                <w:sz w:val="20"/>
                <w:szCs w:val="20"/>
              </w:rPr>
              <w:t>Postdoctoral</w:t>
            </w:r>
          </w:p>
        </w:tc>
        <w:tc>
          <w:tcPr>
            <w:tcW w:w="1170" w:type="dxa"/>
          </w:tcPr>
          <w:p w14:paraId="1A455B4C" w14:textId="13B9FD75" w:rsidR="0060293C" w:rsidRPr="007425EA" w:rsidRDefault="0060293C" w:rsidP="003E4A92">
            <w:pPr>
              <w:pStyle w:val="FormFieldCaption"/>
              <w:spacing w:before="20" w:after="20"/>
              <w:jc w:val="center"/>
              <w:rPr>
                <w:sz w:val="20"/>
                <w:szCs w:val="20"/>
              </w:rPr>
            </w:pPr>
            <w:r w:rsidRPr="007425EA">
              <w:rPr>
                <w:sz w:val="20"/>
                <w:szCs w:val="20"/>
              </w:rPr>
              <w:t>06/2011</w:t>
            </w:r>
          </w:p>
        </w:tc>
        <w:tc>
          <w:tcPr>
            <w:tcW w:w="4484" w:type="dxa"/>
          </w:tcPr>
          <w:p w14:paraId="71CC28C8" w14:textId="5F5DFCB9" w:rsidR="0060293C" w:rsidRPr="007425EA" w:rsidRDefault="007425EA" w:rsidP="007425EA">
            <w:pPr>
              <w:pStyle w:val="FormFieldCaption"/>
              <w:spacing w:before="20" w:after="20"/>
              <w:rPr>
                <w:sz w:val="20"/>
                <w:szCs w:val="20"/>
              </w:rPr>
            </w:pPr>
            <w:r>
              <w:rPr>
                <w:sz w:val="20"/>
                <w:szCs w:val="20"/>
              </w:rPr>
              <w:t>Surgical and Immunology</w:t>
            </w:r>
            <w:r w:rsidR="0060293C" w:rsidRPr="007425EA">
              <w:rPr>
                <w:sz w:val="20"/>
                <w:szCs w:val="20"/>
              </w:rPr>
              <w:t xml:space="preserve"> Research </w:t>
            </w:r>
          </w:p>
        </w:tc>
      </w:tr>
      <w:tr w:rsidR="007425EA" w:rsidRPr="007425EA" w14:paraId="09D52645" w14:textId="77777777" w:rsidTr="007425EA">
        <w:trPr>
          <w:cantSplit/>
          <w:trHeight w:val="216"/>
        </w:trPr>
        <w:tc>
          <w:tcPr>
            <w:tcW w:w="3978" w:type="dxa"/>
          </w:tcPr>
          <w:p w14:paraId="76A4F390" w14:textId="2472D8AF" w:rsidR="0060293C" w:rsidRPr="007425EA" w:rsidRDefault="0060293C" w:rsidP="007425EA">
            <w:pPr>
              <w:pStyle w:val="FormFieldCaption"/>
              <w:spacing w:before="20" w:after="20"/>
              <w:rPr>
                <w:sz w:val="20"/>
                <w:szCs w:val="20"/>
              </w:rPr>
            </w:pPr>
            <w:r w:rsidRPr="007425EA">
              <w:rPr>
                <w:sz w:val="20"/>
                <w:szCs w:val="20"/>
              </w:rPr>
              <w:t>Duke University, Durham, NC</w:t>
            </w:r>
          </w:p>
        </w:tc>
        <w:tc>
          <w:tcPr>
            <w:tcW w:w="1440" w:type="dxa"/>
          </w:tcPr>
          <w:p w14:paraId="3120D72C" w14:textId="67AF5F0E" w:rsidR="0060293C" w:rsidRPr="007425EA" w:rsidRDefault="0060293C" w:rsidP="003E4A92">
            <w:pPr>
              <w:pStyle w:val="FormFieldCaption"/>
              <w:spacing w:before="20" w:after="20"/>
              <w:jc w:val="center"/>
              <w:rPr>
                <w:sz w:val="20"/>
                <w:szCs w:val="20"/>
              </w:rPr>
            </w:pPr>
            <w:r w:rsidRPr="007425EA">
              <w:rPr>
                <w:sz w:val="20"/>
                <w:szCs w:val="20"/>
              </w:rPr>
              <w:t>Residency</w:t>
            </w:r>
          </w:p>
        </w:tc>
        <w:tc>
          <w:tcPr>
            <w:tcW w:w="1170" w:type="dxa"/>
          </w:tcPr>
          <w:p w14:paraId="53EB7033" w14:textId="083F54D7" w:rsidR="0060293C" w:rsidRPr="007425EA" w:rsidRDefault="0060293C" w:rsidP="003E4A92">
            <w:pPr>
              <w:pStyle w:val="FormFieldCaption"/>
              <w:spacing w:before="20" w:after="20"/>
              <w:jc w:val="center"/>
              <w:rPr>
                <w:sz w:val="20"/>
                <w:szCs w:val="20"/>
              </w:rPr>
            </w:pPr>
            <w:r w:rsidRPr="007425EA">
              <w:rPr>
                <w:sz w:val="20"/>
                <w:szCs w:val="20"/>
              </w:rPr>
              <w:t>06/2013</w:t>
            </w:r>
          </w:p>
        </w:tc>
        <w:tc>
          <w:tcPr>
            <w:tcW w:w="4484" w:type="dxa"/>
          </w:tcPr>
          <w:p w14:paraId="4418E34F" w14:textId="00A67967" w:rsidR="0060293C" w:rsidRPr="007425EA" w:rsidRDefault="0060293C" w:rsidP="00ED35D7">
            <w:pPr>
              <w:pStyle w:val="FormFieldCaption"/>
              <w:spacing w:before="20" w:after="20"/>
              <w:rPr>
                <w:sz w:val="20"/>
                <w:szCs w:val="20"/>
              </w:rPr>
            </w:pPr>
            <w:r w:rsidRPr="007425EA">
              <w:rPr>
                <w:sz w:val="20"/>
                <w:szCs w:val="20"/>
              </w:rPr>
              <w:t>Residency in General Surgery</w:t>
            </w:r>
          </w:p>
        </w:tc>
      </w:tr>
      <w:tr w:rsidR="007425EA" w:rsidRPr="007425EA" w14:paraId="767906B9" w14:textId="77777777" w:rsidTr="007425EA">
        <w:trPr>
          <w:cantSplit/>
          <w:trHeight w:val="144"/>
        </w:trPr>
        <w:tc>
          <w:tcPr>
            <w:tcW w:w="3978" w:type="dxa"/>
          </w:tcPr>
          <w:p w14:paraId="4D43CFA6" w14:textId="66E2728B" w:rsidR="0060293C" w:rsidRPr="007425EA" w:rsidRDefault="007425EA" w:rsidP="00ED35D7">
            <w:pPr>
              <w:pStyle w:val="FormFieldCaption"/>
              <w:spacing w:before="20" w:after="20"/>
              <w:rPr>
                <w:sz w:val="20"/>
                <w:szCs w:val="20"/>
              </w:rPr>
            </w:pPr>
            <w:r w:rsidRPr="007425EA">
              <w:rPr>
                <w:sz w:val="20"/>
                <w:szCs w:val="20"/>
              </w:rPr>
              <w:t>University of California, Los Angeles</w:t>
            </w:r>
          </w:p>
        </w:tc>
        <w:tc>
          <w:tcPr>
            <w:tcW w:w="1440" w:type="dxa"/>
          </w:tcPr>
          <w:p w14:paraId="3D81FEFA" w14:textId="4DDE8FA0" w:rsidR="0060293C" w:rsidRPr="007425EA" w:rsidRDefault="0060293C" w:rsidP="003E4A92">
            <w:pPr>
              <w:pStyle w:val="FormFieldCaption"/>
              <w:spacing w:before="20" w:after="20"/>
              <w:jc w:val="center"/>
              <w:rPr>
                <w:sz w:val="20"/>
                <w:szCs w:val="20"/>
              </w:rPr>
            </w:pPr>
            <w:r w:rsidRPr="007425EA">
              <w:rPr>
                <w:sz w:val="20"/>
                <w:szCs w:val="20"/>
              </w:rPr>
              <w:t>Fellowship</w:t>
            </w:r>
          </w:p>
        </w:tc>
        <w:tc>
          <w:tcPr>
            <w:tcW w:w="1170" w:type="dxa"/>
          </w:tcPr>
          <w:p w14:paraId="3F1F9756" w14:textId="0475E794" w:rsidR="0060293C" w:rsidRPr="007425EA" w:rsidRDefault="0060293C" w:rsidP="003E4A92">
            <w:pPr>
              <w:pStyle w:val="FormFieldCaption"/>
              <w:spacing w:before="20" w:after="20"/>
              <w:jc w:val="center"/>
              <w:rPr>
                <w:sz w:val="20"/>
                <w:szCs w:val="20"/>
              </w:rPr>
            </w:pPr>
            <w:r w:rsidRPr="007425EA">
              <w:rPr>
                <w:sz w:val="20"/>
                <w:szCs w:val="20"/>
              </w:rPr>
              <w:t>06/2015</w:t>
            </w:r>
          </w:p>
        </w:tc>
        <w:tc>
          <w:tcPr>
            <w:tcW w:w="4484" w:type="dxa"/>
          </w:tcPr>
          <w:p w14:paraId="4D6D5595" w14:textId="694A449E" w:rsidR="0060293C" w:rsidRPr="007425EA" w:rsidRDefault="00066BEC" w:rsidP="007425EA">
            <w:pPr>
              <w:pStyle w:val="FormFieldCaption"/>
              <w:spacing w:before="20" w:after="20"/>
              <w:rPr>
                <w:sz w:val="20"/>
                <w:szCs w:val="20"/>
              </w:rPr>
            </w:pPr>
            <w:r w:rsidRPr="007425EA">
              <w:rPr>
                <w:sz w:val="20"/>
                <w:szCs w:val="20"/>
              </w:rPr>
              <w:t>Abdominal Transplant</w:t>
            </w:r>
            <w:r w:rsidR="0060293C" w:rsidRPr="007425EA">
              <w:rPr>
                <w:sz w:val="20"/>
                <w:szCs w:val="20"/>
              </w:rPr>
              <w:t xml:space="preserve"> </w:t>
            </w:r>
            <w:r w:rsidR="007425EA">
              <w:rPr>
                <w:sz w:val="20"/>
                <w:szCs w:val="20"/>
              </w:rPr>
              <w:t>&amp;</w:t>
            </w:r>
            <w:r w:rsidR="0060293C" w:rsidRPr="007425EA">
              <w:rPr>
                <w:sz w:val="20"/>
                <w:szCs w:val="20"/>
              </w:rPr>
              <w:t xml:space="preserve"> Hepatobiliary Surgery</w:t>
            </w:r>
          </w:p>
        </w:tc>
      </w:tr>
    </w:tbl>
    <w:p w14:paraId="4C9C779E" w14:textId="77777777" w:rsidR="00D47E6D" w:rsidRDefault="00D47E6D" w:rsidP="00BA3998">
      <w:pPr>
        <w:rPr>
          <w:b/>
        </w:rPr>
      </w:pPr>
    </w:p>
    <w:p w14:paraId="3D77DB8D" w14:textId="3D12C1C5" w:rsidR="00BA3998" w:rsidRDefault="00BA3998" w:rsidP="00BA3998">
      <w:pPr>
        <w:rPr>
          <w:b/>
        </w:rPr>
      </w:pPr>
      <w:r w:rsidRPr="00BA3998">
        <w:rPr>
          <w:b/>
        </w:rPr>
        <w:t>A.</w:t>
      </w:r>
      <w:r w:rsidRPr="00BA3998">
        <w:rPr>
          <w:b/>
        </w:rPr>
        <w:tab/>
        <w:t>Personal Statement</w:t>
      </w:r>
    </w:p>
    <w:p w14:paraId="43D2336F" w14:textId="053B481B" w:rsidR="009F0FC6" w:rsidRDefault="00E95C45" w:rsidP="009F0FC6">
      <w:pPr>
        <w:ind w:firstLine="360"/>
      </w:pPr>
      <w:r>
        <w:t xml:space="preserve">My research interests center around developing an understanding of the state of immunologic dysfunction associated with end-stage liver disease and discerning how this dysfunctional state affects recipient post-transplant immunity.  In this proposal, I outline a research plan to systematically investigate the role of immune cell bioenergetics and T cell dysfunction in the </w:t>
      </w:r>
      <w:r w:rsidR="009F0FC6">
        <w:t xml:space="preserve">development of pre-transplant immune dysfunction </w:t>
      </w:r>
      <w:r w:rsidR="001A78C0">
        <w:t>(</w:t>
      </w:r>
      <w:proofErr w:type="spellStart"/>
      <w:r w:rsidR="001A78C0">
        <w:t>ie</w:t>
      </w:r>
      <w:proofErr w:type="spellEnd"/>
      <w:r w:rsidR="001A78C0">
        <w:t xml:space="preserve"> immunologic frailty), and </w:t>
      </w:r>
      <w:r w:rsidR="009F0FC6">
        <w:t>seek to determine longitudinal effect</w:t>
      </w:r>
      <w:r w:rsidR="001A78C0">
        <w:t>s</w:t>
      </w:r>
      <w:r w:rsidR="009F0FC6">
        <w:t xml:space="preserve"> of immunologic frailty on post-transplant immunity.  Our approach is not only to define the state of immunologic frailty, but also to pinpoint therapeutic targets to improve long-term </w:t>
      </w:r>
      <w:r w:rsidR="001A78C0">
        <w:t>liver transplant</w:t>
      </w:r>
      <w:r w:rsidR="009F0FC6">
        <w:t xml:space="preserve"> outcomes.  This research is synergistic with my clinical role as a liver transplant surgeon and will allow me to develop my potential </w:t>
      </w:r>
      <w:r w:rsidR="00FC6118">
        <w:t>as a bench-to-bedside physician-</w:t>
      </w:r>
      <w:r w:rsidR="009F0FC6">
        <w:t xml:space="preserve">scientist and leader in the basic science community of </w:t>
      </w:r>
      <w:r w:rsidR="00FC6118">
        <w:t>transplant</w:t>
      </w:r>
      <w:r w:rsidR="009F0FC6">
        <w:t xml:space="preserve">. </w:t>
      </w:r>
    </w:p>
    <w:p w14:paraId="479FAAB9" w14:textId="7CB1F735" w:rsidR="007425EA" w:rsidRPr="007425EA" w:rsidRDefault="00E95C45" w:rsidP="00D47E6D">
      <w:r>
        <w:t xml:space="preserve"> </w:t>
      </w:r>
      <w:r w:rsidR="009F0FC6">
        <w:tab/>
        <w:t xml:space="preserve">I have been fortunate in my training to </w:t>
      </w:r>
      <w:r w:rsidR="007425EA">
        <w:t>have</w:t>
      </w:r>
      <w:r w:rsidR="009F0FC6">
        <w:t xml:space="preserve"> excellent </w:t>
      </w:r>
      <w:r w:rsidR="00FC6118">
        <w:t>mentorship</w:t>
      </w:r>
      <w:r w:rsidR="009F0FC6">
        <w:t xml:space="preserve"> and a strong foundation in basic science.  As an undergraduate at Miami University, I received training in molecular biology and biochemistry with Dr. Christopher </w:t>
      </w:r>
      <w:proofErr w:type="spellStart"/>
      <w:r w:rsidR="009F0FC6">
        <w:t>Makaroff</w:t>
      </w:r>
      <w:proofErr w:type="spellEnd"/>
      <w:r w:rsidR="009F0FC6">
        <w:t>.</w:t>
      </w:r>
      <w:r w:rsidR="0060293C">
        <w:t xml:space="preserve">  </w:t>
      </w:r>
      <w:r w:rsidR="009F0FC6">
        <w:t xml:space="preserve">I then obtained a foundation in cellular immunology while completing my </w:t>
      </w:r>
      <w:r w:rsidR="00F557AE">
        <w:t xml:space="preserve">MD and </w:t>
      </w:r>
      <w:r w:rsidR="00FC6118">
        <w:t xml:space="preserve">a </w:t>
      </w:r>
      <w:r w:rsidR="0060293C">
        <w:t>PhD in transplant immunology</w:t>
      </w:r>
      <w:r w:rsidR="001551EB">
        <w:t xml:space="preserve"> with Dr. Ginny Bumgardner at The Ohio State University</w:t>
      </w:r>
      <w:r w:rsidR="00C71256">
        <w:t xml:space="preserve">.  </w:t>
      </w:r>
      <w:r w:rsidR="009F0FC6">
        <w:t xml:space="preserve">As a surgical resident, I applied my basic science knowledge to the development of a novel mouse model for pancreatic ischemia-reperfusion injury.  </w:t>
      </w:r>
      <w:r w:rsidR="006723FB">
        <w:t>Following my clinical training, I was able to expand my research efforts and establish myself in the field of liver transplant immunology and transplant surgery as faculty at</w:t>
      </w:r>
      <w:r w:rsidR="009F0FC6">
        <w:t xml:space="preserve"> Houston Methodist </w:t>
      </w:r>
      <w:r w:rsidR="006723FB">
        <w:t xml:space="preserve">Hospital under the </w:t>
      </w:r>
      <w:r w:rsidR="009F0FC6">
        <w:t xml:space="preserve">mentorship of Dr. Mark </w:t>
      </w:r>
      <w:proofErr w:type="spellStart"/>
      <w:r w:rsidR="009F0FC6">
        <w:t>Ghobrial</w:t>
      </w:r>
      <w:proofErr w:type="spellEnd"/>
      <w:r w:rsidR="009F0FC6">
        <w:t xml:space="preserve"> and Dr. Xian Li, who are leaders in the fields of transplant and immunology</w:t>
      </w:r>
      <w:r w:rsidR="006723FB">
        <w:t>.  I was awarded an NIH K08 award for studies in the area of liver transplant recipient immunologic frailty in which the immune dysfunction of the patient prior to liver transplantation has a detrimental effect on recipient post-transplant outcomes. Subsequently, I have been offered the position of Assistant Professor of Surgery at Rutgers University, and I feel that the institutional environment will enhance my research efforts and increase my opportunities for success.</w:t>
      </w:r>
    </w:p>
    <w:p w14:paraId="2919FDA5" w14:textId="55BD4C11" w:rsidR="006723FB" w:rsidRPr="000E20E5" w:rsidRDefault="006723FB" w:rsidP="006723FB">
      <w:pPr>
        <w:pStyle w:val="ListParagraph"/>
        <w:numPr>
          <w:ilvl w:val="0"/>
          <w:numId w:val="37"/>
        </w:numPr>
        <w:spacing w:after="120"/>
        <w:rPr>
          <w:b/>
          <w:sz w:val="20"/>
          <w:szCs w:val="26"/>
        </w:rPr>
      </w:pPr>
      <w:r>
        <w:rPr>
          <w:b/>
          <w:sz w:val="20"/>
          <w:szCs w:val="20"/>
        </w:rPr>
        <w:t xml:space="preserve">Lunsford, Keri E. </w:t>
      </w:r>
      <w:r>
        <w:rPr>
          <w:sz w:val="20"/>
          <w:szCs w:val="20"/>
        </w:rPr>
        <w:t xml:space="preserve">and Fady M. </w:t>
      </w:r>
      <w:proofErr w:type="spellStart"/>
      <w:r>
        <w:rPr>
          <w:sz w:val="20"/>
          <w:szCs w:val="20"/>
        </w:rPr>
        <w:t>Kaldas</w:t>
      </w:r>
      <w:proofErr w:type="spellEnd"/>
      <w:r>
        <w:rPr>
          <w:sz w:val="20"/>
          <w:szCs w:val="20"/>
        </w:rPr>
        <w:t xml:space="preserve">.  Chapter 64: The Management of Cystic Disease of the Liver.  In: Cameron JL and Cameron AM, eds.  </w:t>
      </w:r>
      <w:r>
        <w:rPr>
          <w:i/>
          <w:sz w:val="20"/>
          <w:szCs w:val="20"/>
        </w:rPr>
        <w:t>Current Surgical Therapy, 12th Edition</w:t>
      </w:r>
      <w:r>
        <w:rPr>
          <w:sz w:val="20"/>
          <w:szCs w:val="20"/>
        </w:rPr>
        <w:t>.  New York, NY, Elsevier, 2016: 335-342</w:t>
      </w:r>
      <w:r>
        <w:rPr>
          <w:i/>
          <w:sz w:val="20"/>
          <w:szCs w:val="20"/>
        </w:rPr>
        <w:t>.</w:t>
      </w:r>
    </w:p>
    <w:p w14:paraId="65246793" w14:textId="77777777" w:rsidR="006723FB" w:rsidRPr="000E20E5" w:rsidRDefault="006723FB" w:rsidP="006723FB">
      <w:pPr>
        <w:pStyle w:val="ListParagraph"/>
        <w:numPr>
          <w:ilvl w:val="0"/>
          <w:numId w:val="37"/>
        </w:numPr>
        <w:spacing w:after="120"/>
        <w:rPr>
          <w:b/>
          <w:sz w:val="20"/>
          <w:szCs w:val="26"/>
        </w:rPr>
      </w:pPr>
      <w:r w:rsidRPr="000759CB">
        <w:rPr>
          <w:sz w:val="20"/>
          <w:szCs w:val="20"/>
        </w:rPr>
        <w:t xml:space="preserve">Ravindra, </w:t>
      </w:r>
      <w:proofErr w:type="spellStart"/>
      <w:r w:rsidRPr="000759CB">
        <w:rPr>
          <w:sz w:val="20"/>
          <w:szCs w:val="20"/>
        </w:rPr>
        <w:t>Kadiyala</w:t>
      </w:r>
      <w:proofErr w:type="spellEnd"/>
      <w:r w:rsidRPr="000759CB">
        <w:rPr>
          <w:sz w:val="20"/>
          <w:szCs w:val="20"/>
        </w:rPr>
        <w:t xml:space="preserve"> V., </w:t>
      </w:r>
      <w:r w:rsidRPr="000759CB">
        <w:rPr>
          <w:b/>
          <w:sz w:val="20"/>
          <w:szCs w:val="20"/>
        </w:rPr>
        <w:t>Keri E. Lunsford</w:t>
      </w:r>
      <w:r w:rsidRPr="000759CB">
        <w:rPr>
          <w:sz w:val="20"/>
          <w:szCs w:val="20"/>
        </w:rPr>
        <w:t xml:space="preserve">, and Paul C. </w:t>
      </w:r>
      <w:proofErr w:type="spellStart"/>
      <w:r w:rsidRPr="000759CB">
        <w:rPr>
          <w:sz w:val="20"/>
          <w:szCs w:val="20"/>
        </w:rPr>
        <w:t>Kuo</w:t>
      </w:r>
      <w:proofErr w:type="spellEnd"/>
      <w:r w:rsidRPr="000759CB">
        <w:rPr>
          <w:sz w:val="20"/>
          <w:szCs w:val="20"/>
        </w:rPr>
        <w:t xml:space="preserve">.  </w:t>
      </w:r>
      <w:r>
        <w:rPr>
          <w:sz w:val="20"/>
          <w:szCs w:val="20"/>
        </w:rPr>
        <w:t xml:space="preserve">Chapter 13: </w:t>
      </w:r>
      <w:r w:rsidRPr="000759CB">
        <w:rPr>
          <w:sz w:val="20"/>
          <w:szCs w:val="20"/>
        </w:rPr>
        <w:t>Selection of the brain-dead potent</w:t>
      </w:r>
      <w:r>
        <w:rPr>
          <w:sz w:val="20"/>
          <w:szCs w:val="20"/>
        </w:rPr>
        <w:t>ial organ donor</w:t>
      </w:r>
      <w:r w:rsidRPr="000759CB">
        <w:rPr>
          <w:sz w:val="20"/>
          <w:szCs w:val="20"/>
        </w:rPr>
        <w:t>.</w:t>
      </w:r>
      <w:r w:rsidRPr="000759CB">
        <w:rPr>
          <w:i/>
          <w:sz w:val="20"/>
          <w:szCs w:val="20"/>
        </w:rPr>
        <w:t xml:space="preserve"> </w:t>
      </w:r>
      <w:r>
        <w:rPr>
          <w:sz w:val="20"/>
          <w:szCs w:val="20"/>
        </w:rPr>
        <w:t xml:space="preserve">In: </w:t>
      </w:r>
      <w:proofErr w:type="spellStart"/>
      <w:r>
        <w:rPr>
          <w:sz w:val="20"/>
          <w:szCs w:val="20"/>
        </w:rPr>
        <w:t>Novitzky</w:t>
      </w:r>
      <w:proofErr w:type="spellEnd"/>
      <w:r>
        <w:rPr>
          <w:sz w:val="20"/>
          <w:szCs w:val="20"/>
        </w:rPr>
        <w:t xml:space="preserve"> D and Cooper DKC, eds.</w:t>
      </w:r>
      <w:r w:rsidRPr="000759CB">
        <w:rPr>
          <w:i/>
          <w:sz w:val="20"/>
          <w:szCs w:val="20"/>
        </w:rPr>
        <w:t xml:space="preserve"> </w:t>
      </w:r>
      <w:r>
        <w:rPr>
          <w:i/>
          <w:sz w:val="20"/>
          <w:szCs w:val="20"/>
        </w:rPr>
        <w:t>The Brain-Dead Organ Donor: Pathophysiology and Management</w:t>
      </w:r>
      <w:r w:rsidRPr="000759CB">
        <w:rPr>
          <w:i/>
          <w:sz w:val="20"/>
          <w:szCs w:val="20"/>
        </w:rPr>
        <w:t>.</w:t>
      </w:r>
      <w:r>
        <w:rPr>
          <w:sz w:val="20"/>
          <w:szCs w:val="20"/>
        </w:rPr>
        <w:t xml:space="preserve">  New York, NY: Springer Science and Business Media, 2013: 147-154.</w:t>
      </w:r>
    </w:p>
    <w:p w14:paraId="40A65AED" w14:textId="77777777" w:rsidR="006723FB" w:rsidRPr="000E20E5" w:rsidRDefault="006723FB" w:rsidP="006723FB">
      <w:pPr>
        <w:pStyle w:val="ListParagraph"/>
        <w:numPr>
          <w:ilvl w:val="0"/>
          <w:numId w:val="37"/>
        </w:numPr>
        <w:spacing w:after="120"/>
        <w:rPr>
          <w:b/>
          <w:sz w:val="20"/>
          <w:szCs w:val="26"/>
        </w:rPr>
      </w:pPr>
      <w:r>
        <w:rPr>
          <w:sz w:val="20"/>
          <w:szCs w:val="26"/>
        </w:rPr>
        <w:t xml:space="preserve">Yi, Stephanie G., Richard J. Knight, and </w:t>
      </w:r>
      <w:r w:rsidRPr="00AB12CE">
        <w:rPr>
          <w:b/>
          <w:sz w:val="20"/>
          <w:szCs w:val="26"/>
        </w:rPr>
        <w:t>Keri E. Lunsford</w:t>
      </w:r>
      <w:r>
        <w:rPr>
          <w:sz w:val="20"/>
          <w:szCs w:val="26"/>
        </w:rPr>
        <w:t xml:space="preserve">.  BK Virus as a Mediator of Graft Dysfunction Following Kidney Transplantation.  </w:t>
      </w:r>
      <w:r>
        <w:rPr>
          <w:i/>
          <w:sz w:val="20"/>
          <w:szCs w:val="26"/>
        </w:rPr>
        <w:t>Current Opinion in Organ Transplantation</w:t>
      </w:r>
      <w:r>
        <w:rPr>
          <w:sz w:val="20"/>
          <w:szCs w:val="26"/>
        </w:rPr>
        <w:t>.  2017 Aug; 22(4); 320-327.</w:t>
      </w:r>
    </w:p>
    <w:p w14:paraId="1DC54ECB" w14:textId="77777777" w:rsidR="006723FB" w:rsidRPr="006723FB" w:rsidRDefault="006723FB" w:rsidP="007473E0">
      <w:pPr>
        <w:pStyle w:val="ListParagraph"/>
        <w:numPr>
          <w:ilvl w:val="0"/>
          <w:numId w:val="37"/>
        </w:numPr>
        <w:spacing w:after="120"/>
        <w:rPr>
          <w:b/>
          <w:sz w:val="20"/>
          <w:szCs w:val="26"/>
        </w:rPr>
      </w:pPr>
      <w:r w:rsidRPr="000E20E5">
        <w:rPr>
          <w:sz w:val="20"/>
          <w:szCs w:val="26"/>
        </w:rPr>
        <w:t xml:space="preserve">Yi, Stephanie G, </w:t>
      </w:r>
      <w:r w:rsidRPr="000E20E5">
        <w:rPr>
          <w:b/>
          <w:sz w:val="20"/>
          <w:szCs w:val="26"/>
        </w:rPr>
        <w:t>Keri E. Lunsford</w:t>
      </w:r>
      <w:r w:rsidRPr="000E20E5">
        <w:rPr>
          <w:sz w:val="20"/>
          <w:szCs w:val="26"/>
        </w:rPr>
        <w:t xml:space="preserve">, Courtenay Bruce, and R. Mark </w:t>
      </w:r>
      <w:proofErr w:type="spellStart"/>
      <w:r w:rsidRPr="000E20E5">
        <w:rPr>
          <w:sz w:val="20"/>
          <w:szCs w:val="26"/>
        </w:rPr>
        <w:t>Ghobrial</w:t>
      </w:r>
      <w:proofErr w:type="spellEnd"/>
      <w:r w:rsidRPr="000E20E5">
        <w:rPr>
          <w:sz w:val="20"/>
          <w:szCs w:val="20"/>
        </w:rPr>
        <w:t xml:space="preserve">.  </w:t>
      </w:r>
      <w:r w:rsidRPr="000E20E5">
        <w:rPr>
          <w:rFonts w:cs="Arial"/>
          <w:sz w:val="20"/>
          <w:szCs w:val="20"/>
        </w:rPr>
        <w:t xml:space="preserve">Conquering Combined Thoracic Organ and Liver Transplantation: Indications and Outcomes for Heart-Liver and Lung-Liver Transplantation.  </w:t>
      </w:r>
      <w:r w:rsidRPr="000E20E5">
        <w:rPr>
          <w:rFonts w:cs="Arial"/>
          <w:i/>
          <w:sz w:val="20"/>
          <w:szCs w:val="20"/>
        </w:rPr>
        <w:t xml:space="preserve">Current Opinion in Organ Transplantation. </w:t>
      </w:r>
      <w:r w:rsidRPr="000E20E5">
        <w:rPr>
          <w:rFonts w:cs="Arial"/>
          <w:sz w:val="20"/>
          <w:szCs w:val="20"/>
        </w:rPr>
        <w:t>2018 April; 23(2): 180-186.</w:t>
      </w:r>
    </w:p>
    <w:p w14:paraId="262E1497" w14:textId="2C673890" w:rsidR="009D0C9E" w:rsidRPr="006723FB" w:rsidRDefault="00BA3998" w:rsidP="006723FB">
      <w:pPr>
        <w:rPr>
          <w:b/>
          <w:sz w:val="20"/>
          <w:szCs w:val="26"/>
        </w:rPr>
      </w:pPr>
      <w:r w:rsidRPr="006723FB">
        <w:rPr>
          <w:b/>
        </w:rPr>
        <w:lastRenderedPageBreak/>
        <w:t>B.</w:t>
      </w:r>
      <w:r w:rsidRPr="006723FB">
        <w:rPr>
          <w:b/>
        </w:rPr>
        <w:tab/>
        <w:t>Positions and Honors</w:t>
      </w:r>
    </w:p>
    <w:p w14:paraId="791BA7AD" w14:textId="77777777" w:rsidR="004D287C" w:rsidRPr="00D63249" w:rsidRDefault="004D287C" w:rsidP="009D0C9E">
      <w:pPr>
        <w:jc w:val="both"/>
        <w:rPr>
          <w:b/>
          <w:szCs w:val="22"/>
          <w:u w:val="single"/>
        </w:rPr>
      </w:pPr>
      <w:r w:rsidRPr="00D63249">
        <w:rPr>
          <w:b/>
          <w:szCs w:val="22"/>
          <w:u w:val="single"/>
        </w:rPr>
        <w:t>Research and Professional Experience</w:t>
      </w:r>
    </w:p>
    <w:p w14:paraId="34FC95E1" w14:textId="27D53CFA" w:rsidR="004D287C" w:rsidRPr="00D63249" w:rsidRDefault="00F557AE" w:rsidP="00906B0D">
      <w:pPr>
        <w:numPr>
          <w:ilvl w:val="1"/>
          <w:numId w:val="23"/>
        </w:numPr>
        <w:tabs>
          <w:tab w:val="clear" w:pos="1320"/>
          <w:tab w:val="num" w:pos="1980"/>
        </w:tabs>
        <w:autoSpaceDE/>
        <w:autoSpaceDN/>
        <w:ind w:left="2520" w:hanging="2160"/>
        <w:jc w:val="both"/>
        <w:rPr>
          <w:szCs w:val="22"/>
        </w:rPr>
      </w:pPr>
      <w:r w:rsidRPr="00D63249">
        <w:rPr>
          <w:szCs w:val="22"/>
        </w:rPr>
        <w:t>Senior Honors Research</w:t>
      </w:r>
      <w:r w:rsidR="00807AB2">
        <w:rPr>
          <w:szCs w:val="22"/>
        </w:rPr>
        <w:t xml:space="preserve"> Project, Miami University</w:t>
      </w:r>
      <w:r w:rsidR="004D287C" w:rsidRPr="00D63249">
        <w:rPr>
          <w:szCs w:val="22"/>
        </w:rPr>
        <w:t xml:space="preserve">, Oxford, </w:t>
      </w:r>
      <w:r>
        <w:rPr>
          <w:szCs w:val="22"/>
        </w:rPr>
        <w:t>OH</w:t>
      </w:r>
    </w:p>
    <w:p w14:paraId="212848FF" w14:textId="77777777" w:rsidR="004D287C" w:rsidRPr="00D63249" w:rsidRDefault="004D287C" w:rsidP="00906B0D">
      <w:pPr>
        <w:numPr>
          <w:ilvl w:val="0"/>
          <w:numId w:val="19"/>
        </w:numPr>
        <w:tabs>
          <w:tab w:val="clear" w:pos="2520"/>
          <w:tab w:val="num" w:pos="1980"/>
        </w:tabs>
        <w:autoSpaceDE/>
        <w:autoSpaceDN/>
        <w:jc w:val="both"/>
        <w:rPr>
          <w:szCs w:val="22"/>
        </w:rPr>
      </w:pPr>
      <w:r w:rsidRPr="00D63249">
        <w:rPr>
          <w:szCs w:val="22"/>
        </w:rPr>
        <w:t xml:space="preserve">Summer Internship, Atlantic </w:t>
      </w:r>
      <w:proofErr w:type="spellStart"/>
      <w:r w:rsidRPr="00D63249">
        <w:rPr>
          <w:szCs w:val="22"/>
        </w:rPr>
        <w:t>Microlabs</w:t>
      </w:r>
      <w:proofErr w:type="spellEnd"/>
      <w:r w:rsidRPr="00D63249">
        <w:rPr>
          <w:szCs w:val="22"/>
        </w:rPr>
        <w:t>, Atlanta, GA</w:t>
      </w:r>
    </w:p>
    <w:p w14:paraId="218519C2" w14:textId="2CBDC749" w:rsidR="004D287C" w:rsidRPr="00D63249" w:rsidRDefault="004D287C" w:rsidP="00906B0D">
      <w:pPr>
        <w:numPr>
          <w:ilvl w:val="0"/>
          <w:numId w:val="20"/>
        </w:numPr>
        <w:tabs>
          <w:tab w:val="clear" w:pos="2520"/>
          <w:tab w:val="num" w:pos="1980"/>
          <w:tab w:val="left" w:pos="10800"/>
        </w:tabs>
        <w:autoSpaceDE/>
        <w:autoSpaceDN/>
        <w:ind w:right="288"/>
        <w:jc w:val="both"/>
        <w:rPr>
          <w:szCs w:val="22"/>
        </w:rPr>
      </w:pPr>
      <w:r w:rsidRPr="00D63249">
        <w:rPr>
          <w:szCs w:val="22"/>
        </w:rPr>
        <w:t xml:space="preserve">Roessler Medical Student Research Fellowship, Ohio State, Columbus, </w:t>
      </w:r>
      <w:r w:rsidR="00F557AE">
        <w:rPr>
          <w:szCs w:val="22"/>
        </w:rPr>
        <w:t>OH</w:t>
      </w:r>
    </w:p>
    <w:p w14:paraId="0A39E705" w14:textId="74367D25" w:rsidR="004D287C" w:rsidRPr="00906B0D" w:rsidRDefault="004D287C" w:rsidP="00906B0D">
      <w:pPr>
        <w:pStyle w:val="ListParagraph"/>
        <w:numPr>
          <w:ilvl w:val="1"/>
          <w:numId w:val="22"/>
        </w:numPr>
        <w:tabs>
          <w:tab w:val="clear" w:pos="2520"/>
          <w:tab w:val="num" w:pos="1980"/>
        </w:tabs>
        <w:autoSpaceDE/>
        <w:autoSpaceDN/>
        <w:ind w:right="288"/>
        <w:jc w:val="both"/>
        <w:rPr>
          <w:szCs w:val="22"/>
        </w:rPr>
      </w:pPr>
      <w:r w:rsidRPr="00906B0D">
        <w:rPr>
          <w:szCs w:val="22"/>
        </w:rPr>
        <w:t>Medical Student Research Fellowship,</w:t>
      </w:r>
      <w:r w:rsidR="005327D1" w:rsidRPr="00906B0D">
        <w:rPr>
          <w:szCs w:val="22"/>
        </w:rPr>
        <w:t xml:space="preserve"> The</w:t>
      </w:r>
      <w:r w:rsidRPr="00906B0D">
        <w:rPr>
          <w:szCs w:val="22"/>
        </w:rPr>
        <w:t xml:space="preserve"> Ohio State University, Columbus, </w:t>
      </w:r>
      <w:r w:rsidR="00F557AE" w:rsidRPr="00906B0D">
        <w:rPr>
          <w:szCs w:val="22"/>
        </w:rPr>
        <w:t>OH</w:t>
      </w:r>
    </w:p>
    <w:p w14:paraId="0E3C32DA" w14:textId="0F1FA3C0" w:rsidR="004D287C" w:rsidRPr="00D63249" w:rsidRDefault="004D287C" w:rsidP="00906B0D">
      <w:pPr>
        <w:pStyle w:val="BlockText"/>
        <w:tabs>
          <w:tab w:val="clear" w:pos="2520"/>
          <w:tab w:val="num" w:pos="1980"/>
        </w:tabs>
        <w:rPr>
          <w:sz w:val="22"/>
          <w:szCs w:val="22"/>
        </w:rPr>
      </w:pPr>
      <w:r w:rsidRPr="00D63249">
        <w:rPr>
          <w:sz w:val="22"/>
          <w:szCs w:val="22"/>
        </w:rPr>
        <w:t>2002-</w:t>
      </w:r>
      <w:r w:rsidR="00C71256" w:rsidRPr="00D63249">
        <w:rPr>
          <w:sz w:val="22"/>
          <w:szCs w:val="22"/>
        </w:rPr>
        <w:t>2007</w:t>
      </w:r>
      <w:r w:rsidRPr="00D63249">
        <w:rPr>
          <w:sz w:val="22"/>
          <w:szCs w:val="22"/>
        </w:rPr>
        <w:tab/>
        <w:t>Medical Scientist Program</w:t>
      </w:r>
      <w:r w:rsidR="00C71256" w:rsidRPr="00D63249">
        <w:rPr>
          <w:sz w:val="22"/>
          <w:szCs w:val="22"/>
        </w:rPr>
        <w:t xml:space="preserve"> Fellowship</w:t>
      </w:r>
      <w:r w:rsidRPr="00D63249">
        <w:rPr>
          <w:sz w:val="22"/>
          <w:szCs w:val="22"/>
        </w:rPr>
        <w:t xml:space="preserve">, </w:t>
      </w:r>
      <w:r w:rsidR="005327D1" w:rsidRPr="00D63249">
        <w:rPr>
          <w:sz w:val="22"/>
          <w:szCs w:val="22"/>
        </w:rPr>
        <w:t xml:space="preserve">The </w:t>
      </w:r>
      <w:r w:rsidRPr="00D63249">
        <w:rPr>
          <w:sz w:val="22"/>
          <w:szCs w:val="22"/>
        </w:rPr>
        <w:t xml:space="preserve">Ohio State University, Columbus, </w:t>
      </w:r>
      <w:r w:rsidR="00F557AE">
        <w:rPr>
          <w:sz w:val="22"/>
          <w:szCs w:val="22"/>
        </w:rPr>
        <w:t>OH</w:t>
      </w:r>
      <w:r w:rsidRPr="00D63249">
        <w:rPr>
          <w:sz w:val="22"/>
          <w:szCs w:val="22"/>
        </w:rPr>
        <w:t xml:space="preserve"> </w:t>
      </w:r>
    </w:p>
    <w:p w14:paraId="00F06237" w14:textId="396CE994" w:rsidR="005327D1" w:rsidRPr="00D63249" w:rsidRDefault="005327D1" w:rsidP="00906B0D">
      <w:pPr>
        <w:pStyle w:val="BlockText"/>
        <w:tabs>
          <w:tab w:val="clear" w:pos="2520"/>
          <w:tab w:val="num" w:pos="1980"/>
        </w:tabs>
        <w:rPr>
          <w:sz w:val="22"/>
          <w:szCs w:val="22"/>
        </w:rPr>
      </w:pPr>
      <w:r w:rsidRPr="00D63249">
        <w:rPr>
          <w:sz w:val="22"/>
          <w:szCs w:val="22"/>
        </w:rPr>
        <w:t>2007-2013</w:t>
      </w:r>
      <w:r w:rsidRPr="00D63249">
        <w:rPr>
          <w:sz w:val="22"/>
          <w:szCs w:val="22"/>
        </w:rPr>
        <w:tab/>
        <w:t xml:space="preserve">Residency in General Surgery, Duke University Medical Center, Durham, </w:t>
      </w:r>
      <w:r w:rsidR="00F557AE">
        <w:rPr>
          <w:sz w:val="22"/>
          <w:szCs w:val="22"/>
        </w:rPr>
        <w:t>NC</w:t>
      </w:r>
    </w:p>
    <w:p w14:paraId="4327F57A" w14:textId="490EE18A" w:rsidR="005327D1" w:rsidRPr="00D63249" w:rsidRDefault="005327D1" w:rsidP="00906B0D">
      <w:pPr>
        <w:pStyle w:val="BlockText"/>
        <w:tabs>
          <w:tab w:val="clear" w:pos="2520"/>
          <w:tab w:val="num" w:pos="1980"/>
        </w:tabs>
        <w:rPr>
          <w:sz w:val="22"/>
          <w:szCs w:val="22"/>
        </w:rPr>
      </w:pPr>
      <w:r w:rsidRPr="00D63249">
        <w:rPr>
          <w:sz w:val="22"/>
          <w:szCs w:val="22"/>
        </w:rPr>
        <w:t>2010-2011</w:t>
      </w:r>
      <w:r w:rsidRPr="00D63249">
        <w:rPr>
          <w:sz w:val="22"/>
          <w:szCs w:val="22"/>
        </w:rPr>
        <w:tab/>
      </w:r>
      <w:r w:rsidR="00906B0D">
        <w:rPr>
          <w:sz w:val="22"/>
          <w:szCs w:val="22"/>
        </w:rPr>
        <w:t>Postdoctroal</w:t>
      </w:r>
      <w:r w:rsidRPr="00D63249">
        <w:rPr>
          <w:sz w:val="22"/>
          <w:szCs w:val="22"/>
        </w:rPr>
        <w:t xml:space="preserve"> Research Fellowship, Duke University Medical Center, Durham, </w:t>
      </w:r>
      <w:r w:rsidR="00F557AE">
        <w:rPr>
          <w:sz w:val="22"/>
          <w:szCs w:val="22"/>
        </w:rPr>
        <w:t>NC</w:t>
      </w:r>
    </w:p>
    <w:p w14:paraId="54ABFD17" w14:textId="645BCFF3" w:rsidR="00870FBE" w:rsidRPr="00D63249" w:rsidRDefault="00870FBE" w:rsidP="00906B0D">
      <w:pPr>
        <w:pStyle w:val="BlockText"/>
        <w:tabs>
          <w:tab w:val="clear" w:pos="2520"/>
          <w:tab w:val="num" w:pos="1980"/>
        </w:tabs>
        <w:rPr>
          <w:sz w:val="22"/>
          <w:szCs w:val="22"/>
        </w:rPr>
      </w:pPr>
      <w:r w:rsidRPr="00D63249">
        <w:rPr>
          <w:sz w:val="22"/>
          <w:szCs w:val="22"/>
        </w:rPr>
        <w:t>2013-</w:t>
      </w:r>
      <w:r>
        <w:rPr>
          <w:sz w:val="22"/>
          <w:szCs w:val="22"/>
        </w:rPr>
        <w:t>2015</w:t>
      </w:r>
      <w:r w:rsidRPr="00D63249">
        <w:rPr>
          <w:sz w:val="22"/>
          <w:szCs w:val="22"/>
        </w:rPr>
        <w:tab/>
        <w:t xml:space="preserve">Multi-Organ Transplant and Hepatobiliary Surgery Fellowship, </w:t>
      </w:r>
      <w:r w:rsidR="00906B0D">
        <w:rPr>
          <w:sz w:val="22"/>
          <w:szCs w:val="22"/>
        </w:rPr>
        <w:t>UCLA</w:t>
      </w:r>
      <w:r w:rsidRPr="00D63249">
        <w:rPr>
          <w:sz w:val="22"/>
          <w:szCs w:val="22"/>
        </w:rPr>
        <w:t>, Los Angeles, CA</w:t>
      </w:r>
    </w:p>
    <w:p w14:paraId="1A91C35A" w14:textId="38F4B3C1" w:rsidR="005327D1" w:rsidRDefault="00870FBE" w:rsidP="00906B0D">
      <w:pPr>
        <w:pStyle w:val="BlockText"/>
        <w:tabs>
          <w:tab w:val="clear" w:pos="2520"/>
          <w:tab w:val="num" w:pos="1980"/>
        </w:tabs>
        <w:rPr>
          <w:sz w:val="22"/>
          <w:szCs w:val="22"/>
        </w:rPr>
      </w:pPr>
      <w:r>
        <w:rPr>
          <w:sz w:val="22"/>
          <w:szCs w:val="22"/>
        </w:rPr>
        <w:t>2013-2016</w:t>
      </w:r>
      <w:r w:rsidR="005327D1" w:rsidRPr="00D63249">
        <w:rPr>
          <w:sz w:val="22"/>
          <w:szCs w:val="22"/>
        </w:rPr>
        <w:tab/>
      </w:r>
      <w:r w:rsidR="005327D1" w:rsidRPr="00906B0D">
        <w:rPr>
          <w:spacing w:val="-4"/>
          <w:sz w:val="22"/>
          <w:szCs w:val="22"/>
        </w:rPr>
        <w:t xml:space="preserve">Clinical Instructor in Surgery, David Geffen School of Medicine at UCLA, Los Angeles, </w:t>
      </w:r>
      <w:r w:rsidR="00F557AE" w:rsidRPr="00906B0D">
        <w:rPr>
          <w:spacing w:val="-4"/>
          <w:sz w:val="22"/>
          <w:szCs w:val="22"/>
        </w:rPr>
        <w:t>CA</w:t>
      </w:r>
    </w:p>
    <w:p w14:paraId="65194561" w14:textId="75B44FFD" w:rsidR="00870FBE" w:rsidRDefault="00870FBE" w:rsidP="00906B0D">
      <w:pPr>
        <w:pStyle w:val="BlockText"/>
        <w:tabs>
          <w:tab w:val="clear" w:pos="2520"/>
          <w:tab w:val="num" w:pos="1980"/>
        </w:tabs>
        <w:rPr>
          <w:sz w:val="22"/>
          <w:szCs w:val="22"/>
        </w:rPr>
      </w:pPr>
      <w:r>
        <w:rPr>
          <w:sz w:val="22"/>
          <w:szCs w:val="22"/>
        </w:rPr>
        <w:t>2016-</w:t>
      </w:r>
      <w:r w:rsidR="006723FB">
        <w:rPr>
          <w:sz w:val="22"/>
          <w:szCs w:val="22"/>
        </w:rPr>
        <w:t>2019</w:t>
      </w:r>
      <w:r>
        <w:rPr>
          <w:sz w:val="22"/>
          <w:szCs w:val="22"/>
        </w:rPr>
        <w:tab/>
      </w:r>
      <w:r w:rsidR="009D0C9E">
        <w:rPr>
          <w:sz w:val="22"/>
          <w:szCs w:val="22"/>
        </w:rPr>
        <w:t xml:space="preserve">Assistant Professor of Surgery – Weill Cornell Medical College, </w:t>
      </w:r>
      <w:r>
        <w:rPr>
          <w:sz w:val="22"/>
          <w:szCs w:val="22"/>
        </w:rPr>
        <w:t xml:space="preserve">Houston Methodist Hospital, Houston, </w:t>
      </w:r>
      <w:r w:rsidR="00F557AE">
        <w:rPr>
          <w:sz w:val="22"/>
          <w:szCs w:val="22"/>
        </w:rPr>
        <w:t>TX</w:t>
      </w:r>
    </w:p>
    <w:p w14:paraId="6B645619" w14:textId="18C317CF" w:rsidR="00F557AE" w:rsidRDefault="00F557AE" w:rsidP="00906B0D">
      <w:pPr>
        <w:pStyle w:val="BlockText"/>
        <w:tabs>
          <w:tab w:val="clear" w:pos="2520"/>
          <w:tab w:val="num" w:pos="1980"/>
        </w:tabs>
        <w:rPr>
          <w:sz w:val="22"/>
          <w:szCs w:val="22"/>
        </w:rPr>
      </w:pPr>
      <w:r>
        <w:rPr>
          <w:sz w:val="22"/>
          <w:szCs w:val="22"/>
        </w:rPr>
        <w:t>2016-</w:t>
      </w:r>
      <w:r w:rsidR="006723FB">
        <w:rPr>
          <w:sz w:val="22"/>
          <w:szCs w:val="22"/>
        </w:rPr>
        <w:t>2019</w:t>
      </w:r>
      <w:r>
        <w:rPr>
          <w:sz w:val="22"/>
          <w:szCs w:val="22"/>
        </w:rPr>
        <w:tab/>
        <w:t xml:space="preserve">Assistant </w:t>
      </w:r>
      <w:r w:rsidR="00906B0D">
        <w:rPr>
          <w:sz w:val="22"/>
          <w:szCs w:val="22"/>
        </w:rPr>
        <w:t xml:space="preserve">Faculty </w:t>
      </w:r>
      <w:r>
        <w:rPr>
          <w:sz w:val="22"/>
          <w:szCs w:val="22"/>
        </w:rPr>
        <w:t>Member, Houston Methodist Research Insititute, Houston, TX</w:t>
      </w:r>
    </w:p>
    <w:p w14:paraId="610F3435" w14:textId="7A3A8504" w:rsidR="00807AB2" w:rsidRDefault="00906B0D" w:rsidP="00906B0D">
      <w:pPr>
        <w:pStyle w:val="BlockText"/>
        <w:tabs>
          <w:tab w:val="clear" w:pos="2520"/>
          <w:tab w:val="num" w:pos="1980"/>
        </w:tabs>
        <w:rPr>
          <w:sz w:val="22"/>
          <w:szCs w:val="22"/>
        </w:rPr>
      </w:pPr>
      <w:r>
        <w:rPr>
          <w:sz w:val="22"/>
          <w:szCs w:val="22"/>
        </w:rPr>
        <w:t>2016-</w:t>
      </w:r>
      <w:r w:rsidR="006723FB">
        <w:rPr>
          <w:sz w:val="22"/>
          <w:szCs w:val="22"/>
        </w:rPr>
        <w:t>2019</w:t>
      </w:r>
      <w:r>
        <w:rPr>
          <w:sz w:val="22"/>
          <w:szCs w:val="22"/>
        </w:rPr>
        <w:tab/>
      </w:r>
      <w:r w:rsidR="00807AB2">
        <w:rPr>
          <w:sz w:val="22"/>
          <w:szCs w:val="22"/>
        </w:rPr>
        <w:t>Intitutional Review Board</w:t>
      </w:r>
      <w:r>
        <w:rPr>
          <w:sz w:val="22"/>
          <w:szCs w:val="22"/>
        </w:rPr>
        <w:t xml:space="preserve"> (IRB) member</w:t>
      </w:r>
      <w:r w:rsidR="00807AB2">
        <w:rPr>
          <w:sz w:val="22"/>
          <w:szCs w:val="22"/>
        </w:rPr>
        <w:t>, Houston Methodist Hospital, Houston, TX</w:t>
      </w:r>
    </w:p>
    <w:p w14:paraId="5E8CFC13" w14:textId="7ACB5154" w:rsidR="009D0C9E" w:rsidRDefault="009D0C9E" w:rsidP="00906B0D">
      <w:pPr>
        <w:pStyle w:val="BlockText"/>
        <w:tabs>
          <w:tab w:val="clear" w:pos="2520"/>
          <w:tab w:val="num" w:pos="1980"/>
        </w:tabs>
        <w:rPr>
          <w:sz w:val="22"/>
          <w:szCs w:val="22"/>
        </w:rPr>
      </w:pPr>
      <w:r>
        <w:rPr>
          <w:sz w:val="22"/>
          <w:szCs w:val="22"/>
        </w:rPr>
        <w:t>2017-present</w:t>
      </w:r>
      <w:r>
        <w:rPr>
          <w:sz w:val="22"/>
          <w:szCs w:val="22"/>
        </w:rPr>
        <w:tab/>
        <w:t>United Network for Organ Sharing (UNOS) Liver Regional Review Board Alternate</w:t>
      </w:r>
    </w:p>
    <w:p w14:paraId="1E2E8C5B" w14:textId="216D9B64" w:rsidR="009D0C9E" w:rsidRDefault="009D0C9E" w:rsidP="00906B0D">
      <w:pPr>
        <w:pStyle w:val="BlockText"/>
        <w:tabs>
          <w:tab w:val="clear" w:pos="2520"/>
          <w:tab w:val="num" w:pos="1980"/>
        </w:tabs>
        <w:rPr>
          <w:sz w:val="22"/>
          <w:szCs w:val="22"/>
        </w:rPr>
      </w:pPr>
      <w:r>
        <w:rPr>
          <w:sz w:val="22"/>
          <w:szCs w:val="22"/>
        </w:rPr>
        <w:t>2017-present</w:t>
      </w:r>
      <w:r>
        <w:rPr>
          <w:sz w:val="22"/>
          <w:szCs w:val="22"/>
        </w:rPr>
        <w:tab/>
        <w:t>American Society of Transplant Surgeons Grant Review Committee Member</w:t>
      </w:r>
    </w:p>
    <w:p w14:paraId="1470D1D8" w14:textId="6A4B000E" w:rsidR="006723FB" w:rsidRDefault="006723FB" w:rsidP="00906B0D">
      <w:pPr>
        <w:pStyle w:val="BlockText"/>
        <w:tabs>
          <w:tab w:val="clear" w:pos="2520"/>
          <w:tab w:val="num" w:pos="1980"/>
        </w:tabs>
        <w:rPr>
          <w:sz w:val="22"/>
          <w:szCs w:val="22"/>
        </w:rPr>
      </w:pPr>
      <w:r>
        <w:rPr>
          <w:sz w:val="22"/>
          <w:szCs w:val="22"/>
        </w:rPr>
        <w:t>2018-present</w:t>
      </w:r>
      <w:r>
        <w:rPr>
          <w:sz w:val="22"/>
          <w:szCs w:val="22"/>
        </w:rPr>
        <w:tab/>
        <w:t>International Cholangiocarcinoma Research Network-Surgery/Transplant Work Group</w:t>
      </w:r>
    </w:p>
    <w:p w14:paraId="61E78047" w14:textId="3096636B" w:rsidR="006723FB" w:rsidRDefault="006723FB" w:rsidP="00906B0D">
      <w:pPr>
        <w:pStyle w:val="BlockText"/>
        <w:tabs>
          <w:tab w:val="clear" w:pos="2520"/>
          <w:tab w:val="num" w:pos="1980"/>
        </w:tabs>
        <w:rPr>
          <w:sz w:val="22"/>
          <w:szCs w:val="22"/>
        </w:rPr>
      </w:pPr>
      <w:r>
        <w:rPr>
          <w:sz w:val="22"/>
          <w:szCs w:val="22"/>
        </w:rPr>
        <w:t>2019-present</w:t>
      </w:r>
      <w:r>
        <w:rPr>
          <w:sz w:val="22"/>
          <w:szCs w:val="22"/>
        </w:rPr>
        <w:tab/>
      </w:r>
      <w:r w:rsidRPr="006723FB">
        <w:rPr>
          <w:sz w:val="22"/>
          <w:szCs w:val="22"/>
        </w:rPr>
        <w:t xml:space="preserve">United Network of Organ Sharing (UNOS) National Liver Review Board – Adult HCC </w:t>
      </w:r>
    </w:p>
    <w:p w14:paraId="04EF162F" w14:textId="3FCACB56" w:rsidR="006723FB" w:rsidRDefault="006723FB" w:rsidP="00906B0D">
      <w:pPr>
        <w:pStyle w:val="BlockText"/>
        <w:tabs>
          <w:tab w:val="clear" w:pos="2520"/>
          <w:tab w:val="num" w:pos="1980"/>
        </w:tabs>
        <w:rPr>
          <w:sz w:val="22"/>
          <w:szCs w:val="22"/>
        </w:rPr>
      </w:pPr>
      <w:r>
        <w:rPr>
          <w:sz w:val="22"/>
          <w:szCs w:val="22"/>
        </w:rPr>
        <w:t>2019-present</w:t>
      </w:r>
      <w:r>
        <w:rPr>
          <w:sz w:val="22"/>
          <w:szCs w:val="22"/>
        </w:rPr>
        <w:tab/>
        <w:t>American Association for the Study of Liver Disease Public Policy Committee Member</w:t>
      </w:r>
    </w:p>
    <w:p w14:paraId="4579D2DE" w14:textId="5A4E1218" w:rsidR="006723FB" w:rsidRDefault="006723FB" w:rsidP="006723FB">
      <w:pPr>
        <w:pStyle w:val="BlockText"/>
        <w:tabs>
          <w:tab w:val="clear" w:pos="2520"/>
          <w:tab w:val="num" w:pos="1980"/>
          <w:tab w:val="left" w:pos="8740"/>
        </w:tabs>
        <w:rPr>
          <w:sz w:val="22"/>
          <w:szCs w:val="22"/>
        </w:rPr>
      </w:pPr>
      <w:r>
        <w:rPr>
          <w:sz w:val="22"/>
          <w:szCs w:val="22"/>
        </w:rPr>
        <w:t>2019-present</w:t>
      </w:r>
      <w:r>
        <w:rPr>
          <w:sz w:val="22"/>
          <w:szCs w:val="22"/>
        </w:rPr>
        <w:tab/>
        <w:t>International Liver Transplant Society-Diversity, Inclusion, &amp; Equity Committee Member</w:t>
      </w:r>
    </w:p>
    <w:p w14:paraId="336FFFFB" w14:textId="4BACBBF5" w:rsidR="00806058" w:rsidRDefault="00806058" w:rsidP="006723FB">
      <w:pPr>
        <w:pStyle w:val="BlockText"/>
        <w:tabs>
          <w:tab w:val="clear" w:pos="2520"/>
          <w:tab w:val="num" w:pos="1980"/>
          <w:tab w:val="left" w:pos="8740"/>
        </w:tabs>
        <w:rPr>
          <w:i/>
          <w:iCs/>
          <w:sz w:val="22"/>
          <w:szCs w:val="22"/>
        </w:rPr>
      </w:pPr>
      <w:r>
        <w:rPr>
          <w:sz w:val="22"/>
          <w:szCs w:val="22"/>
        </w:rPr>
        <w:t>2019-present</w:t>
      </w:r>
      <w:r>
        <w:rPr>
          <w:sz w:val="22"/>
          <w:szCs w:val="22"/>
        </w:rPr>
        <w:tab/>
        <w:t xml:space="preserve">Associate Editor – </w:t>
      </w:r>
      <w:r>
        <w:rPr>
          <w:i/>
          <w:iCs/>
          <w:sz w:val="22"/>
          <w:szCs w:val="22"/>
        </w:rPr>
        <w:t>Transplantation</w:t>
      </w:r>
    </w:p>
    <w:p w14:paraId="001909F9" w14:textId="7D15BC4C" w:rsidR="006723FB" w:rsidRDefault="006723FB" w:rsidP="006723FB">
      <w:pPr>
        <w:pStyle w:val="BlockText"/>
        <w:tabs>
          <w:tab w:val="clear" w:pos="2520"/>
          <w:tab w:val="num" w:pos="1980"/>
          <w:tab w:val="left" w:pos="8740"/>
        </w:tabs>
        <w:rPr>
          <w:sz w:val="22"/>
          <w:szCs w:val="22"/>
        </w:rPr>
      </w:pPr>
      <w:r>
        <w:rPr>
          <w:sz w:val="22"/>
          <w:szCs w:val="22"/>
        </w:rPr>
        <w:t>2019-present</w:t>
      </w:r>
      <w:r>
        <w:rPr>
          <w:sz w:val="22"/>
          <w:szCs w:val="22"/>
        </w:rPr>
        <w:tab/>
        <w:t>Assistant Professor of Surgery – Rutgers New Jersey Medical School, Newark, NJ</w:t>
      </w:r>
    </w:p>
    <w:p w14:paraId="75D6030A" w14:textId="7948A2AE" w:rsidR="00D62E78" w:rsidRPr="00D63249" w:rsidRDefault="00D62E78" w:rsidP="006723FB">
      <w:pPr>
        <w:pStyle w:val="BlockText"/>
        <w:tabs>
          <w:tab w:val="clear" w:pos="2520"/>
          <w:tab w:val="num" w:pos="1980"/>
          <w:tab w:val="left" w:pos="8740"/>
        </w:tabs>
        <w:rPr>
          <w:sz w:val="22"/>
          <w:szCs w:val="22"/>
        </w:rPr>
      </w:pPr>
      <w:r>
        <w:rPr>
          <w:sz w:val="22"/>
          <w:szCs w:val="22"/>
        </w:rPr>
        <w:t>2019-present</w:t>
      </w:r>
      <w:r>
        <w:rPr>
          <w:sz w:val="22"/>
          <w:szCs w:val="22"/>
        </w:rPr>
        <w:tab/>
        <w:t>Member, Center for Immnuity and Inflammation Rutgers NJ Medical School, Newark, NJ</w:t>
      </w:r>
    </w:p>
    <w:p w14:paraId="1FDEECD6" w14:textId="77777777" w:rsidR="004D287C" w:rsidRPr="00D63249" w:rsidRDefault="004D287C" w:rsidP="007473E0">
      <w:pPr>
        <w:tabs>
          <w:tab w:val="num" w:pos="1980"/>
        </w:tabs>
        <w:spacing w:before="120"/>
        <w:ind w:right="288"/>
        <w:jc w:val="both"/>
        <w:rPr>
          <w:b/>
          <w:szCs w:val="22"/>
        </w:rPr>
      </w:pPr>
      <w:r w:rsidRPr="00D63249">
        <w:rPr>
          <w:b/>
          <w:szCs w:val="22"/>
          <w:u w:val="single"/>
        </w:rPr>
        <w:t>Honors and Awards</w:t>
      </w:r>
    </w:p>
    <w:p w14:paraId="463082F1" w14:textId="77777777" w:rsidR="004D287C" w:rsidRPr="00D63249" w:rsidRDefault="004D287C" w:rsidP="00906B0D">
      <w:pPr>
        <w:numPr>
          <w:ilvl w:val="0"/>
          <w:numId w:val="24"/>
        </w:numPr>
        <w:tabs>
          <w:tab w:val="clear" w:pos="2520"/>
          <w:tab w:val="num" w:pos="1980"/>
        </w:tabs>
        <w:autoSpaceDE/>
        <w:autoSpaceDN/>
        <w:ind w:right="288"/>
        <w:jc w:val="both"/>
        <w:rPr>
          <w:szCs w:val="22"/>
        </w:rPr>
      </w:pPr>
      <w:r w:rsidRPr="00D63249">
        <w:rPr>
          <w:szCs w:val="22"/>
        </w:rPr>
        <w:t>Georgia Chapter of Miami University Alumni Association Scholarship</w:t>
      </w:r>
    </w:p>
    <w:p w14:paraId="4E1C300A" w14:textId="77777777" w:rsidR="004D287C" w:rsidRPr="00D63249" w:rsidRDefault="004D287C" w:rsidP="00906B0D">
      <w:pPr>
        <w:numPr>
          <w:ilvl w:val="0"/>
          <w:numId w:val="19"/>
        </w:numPr>
        <w:tabs>
          <w:tab w:val="clear" w:pos="2520"/>
          <w:tab w:val="num" w:pos="1980"/>
        </w:tabs>
        <w:autoSpaceDE/>
        <w:autoSpaceDN/>
        <w:ind w:right="288"/>
        <w:jc w:val="both"/>
        <w:rPr>
          <w:szCs w:val="22"/>
        </w:rPr>
      </w:pPr>
      <w:r w:rsidRPr="00D63249">
        <w:rPr>
          <w:szCs w:val="22"/>
        </w:rPr>
        <w:t xml:space="preserve">Robert A. </w:t>
      </w:r>
      <w:proofErr w:type="spellStart"/>
      <w:r w:rsidRPr="00D63249">
        <w:rPr>
          <w:szCs w:val="22"/>
        </w:rPr>
        <w:t>Stalzer</w:t>
      </w:r>
      <w:proofErr w:type="spellEnd"/>
      <w:r w:rsidRPr="00D63249">
        <w:rPr>
          <w:szCs w:val="22"/>
        </w:rPr>
        <w:t xml:space="preserve"> Memorial Scholarship</w:t>
      </w:r>
    </w:p>
    <w:p w14:paraId="2A6BDD54" w14:textId="77777777" w:rsidR="004D287C" w:rsidRPr="00D63249" w:rsidRDefault="004D287C" w:rsidP="00906B0D">
      <w:pPr>
        <w:tabs>
          <w:tab w:val="num" w:pos="1980"/>
        </w:tabs>
        <w:ind w:left="360" w:right="288"/>
        <w:jc w:val="both"/>
        <w:rPr>
          <w:szCs w:val="22"/>
        </w:rPr>
      </w:pPr>
      <w:r w:rsidRPr="00D63249">
        <w:rPr>
          <w:szCs w:val="22"/>
        </w:rPr>
        <w:t>1998</w:t>
      </w:r>
      <w:r w:rsidRPr="00D63249">
        <w:rPr>
          <w:szCs w:val="22"/>
        </w:rPr>
        <w:tab/>
        <w:t>Goldie Nott Student Research Award</w:t>
      </w:r>
    </w:p>
    <w:p w14:paraId="0716B65C" w14:textId="77777777" w:rsidR="004D287C" w:rsidRPr="00D63249" w:rsidRDefault="004D287C" w:rsidP="00906B0D">
      <w:pPr>
        <w:tabs>
          <w:tab w:val="num" w:pos="1980"/>
        </w:tabs>
        <w:ind w:left="360" w:right="288"/>
        <w:jc w:val="both"/>
        <w:rPr>
          <w:szCs w:val="22"/>
        </w:rPr>
      </w:pPr>
      <w:r w:rsidRPr="00D63249">
        <w:rPr>
          <w:szCs w:val="22"/>
        </w:rPr>
        <w:t>1998</w:t>
      </w:r>
      <w:r w:rsidRPr="00D63249">
        <w:rPr>
          <w:szCs w:val="22"/>
        </w:rPr>
        <w:tab/>
        <w:t>Miami University Undergraduate Research Award</w:t>
      </w:r>
    </w:p>
    <w:p w14:paraId="0D5EAEE8" w14:textId="77777777" w:rsidR="004D287C" w:rsidRPr="00D63249" w:rsidRDefault="004D287C" w:rsidP="00906B0D">
      <w:pPr>
        <w:tabs>
          <w:tab w:val="num" w:pos="1980"/>
        </w:tabs>
        <w:ind w:left="360" w:right="288"/>
        <w:jc w:val="both"/>
        <w:rPr>
          <w:b/>
          <w:szCs w:val="22"/>
        </w:rPr>
      </w:pPr>
      <w:r w:rsidRPr="00D63249">
        <w:rPr>
          <w:szCs w:val="22"/>
        </w:rPr>
        <w:t>1998</w:t>
      </w:r>
      <w:r w:rsidRPr="00D63249">
        <w:rPr>
          <w:szCs w:val="22"/>
        </w:rPr>
        <w:tab/>
      </w:r>
      <w:r w:rsidRPr="005657ED">
        <w:rPr>
          <w:b/>
          <w:i/>
          <w:szCs w:val="22"/>
        </w:rPr>
        <w:t>Phi Beta Kappa</w:t>
      </w:r>
    </w:p>
    <w:p w14:paraId="0468B8B3" w14:textId="77777777" w:rsidR="004D287C" w:rsidRPr="00D63249" w:rsidRDefault="004D287C" w:rsidP="00906B0D">
      <w:pPr>
        <w:tabs>
          <w:tab w:val="num" w:pos="1980"/>
        </w:tabs>
        <w:ind w:left="360" w:right="288"/>
        <w:jc w:val="both"/>
        <w:rPr>
          <w:szCs w:val="22"/>
        </w:rPr>
      </w:pPr>
      <w:r w:rsidRPr="00D63249">
        <w:rPr>
          <w:szCs w:val="22"/>
        </w:rPr>
        <w:t>1999</w:t>
      </w:r>
      <w:r w:rsidRPr="00D63249">
        <w:rPr>
          <w:szCs w:val="22"/>
        </w:rPr>
        <w:tab/>
        <w:t>Graduation with Magna Cum Laude</w:t>
      </w:r>
    </w:p>
    <w:p w14:paraId="40826A44" w14:textId="77777777" w:rsidR="004D287C" w:rsidRPr="00D63249" w:rsidRDefault="004D287C" w:rsidP="00906B0D">
      <w:pPr>
        <w:numPr>
          <w:ilvl w:val="0"/>
          <w:numId w:val="19"/>
        </w:numPr>
        <w:tabs>
          <w:tab w:val="clear" w:pos="2520"/>
          <w:tab w:val="num" w:pos="1980"/>
        </w:tabs>
        <w:autoSpaceDE/>
        <w:autoSpaceDN/>
        <w:ind w:right="288"/>
        <w:jc w:val="both"/>
        <w:rPr>
          <w:szCs w:val="22"/>
        </w:rPr>
      </w:pPr>
      <w:r w:rsidRPr="00D63249">
        <w:rPr>
          <w:szCs w:val="22"/>
        </w:rPr>
        <w:t>Graduation with University Honors</w:t>
      </w:r>
    </w:p>
    <w:p w14:paraId="6633983B" w14:textId="77777777" w:rsidR="004D287C" w:rsidRPr="00D63249" w:rsidRDefault="004D287C" w:rsidP="00906B0D">
      <w:pPr>
        <w:numPr>
          <w:ilvl w:val="0"/>
          <w:numId w:val="19"/>
        </w:numPr>
        <w:tabs>
          <w:tab w:val="clear" w:pos="2520"/>
          <w:tab w:val="num" w:pos="1980"/>
        </w:tabs>
        <w:autoSpaceDE/>
        <w:autoSpaceDN/>
        <w:ind w:right="288"/>
        <w:jc w:val="both"/>
        <w:rPr>
          <w:szCs w:val="22"/>
        </w:rPr>
      </w:pPr>
      <w:r w:rsidRPr="00D63249">
        <w:rPr>
          <w:szCs w:val="22"/>
        </w:rPr>
        <w:t>Samuel J. Roessler Memorial Scholarship Fund</w:t>
      </w:r>
    </w:p>
    <w:p w14:paraId="6463EDFE" w14:textId="77777777" w:rsidR="004D287C" w:rsidRPr="00D63249" w:rsidRDefault="004D287C" w:rsidP="00906B0D">
      <w:pPr>
        <w:numPr>
          <w:ilvl w:val="0"/>
          <w:numId w:val="19"/>
        </w:numPr>
        <w:tabs>
          <w:tab w:val="clear" w:pos="2520"/>
          <w:tab w:val="num" w:pos="1980"/>
        </w:tabs>
        <w:autoSpaceDE/>
        <w:autoSpaceDN/>
        <w:ind w:right="288"/>
        <w:jc w:val="both"/>
        <w:rPr>
          <w:szCs w:val="22"/>
        </w:rPr>
      </w:pPr>
      <w:r w:rsidRPr="00D63249">
        <w:rPr>
          <w:szCs w:val="22"/>
        </w:rPr>
        <w:t>ADHF/AGA Student Research Fellowship</w:t>
      </w:r>
    </w:p>
    <w:p w14:paraId="563DE324" w14:textId="089172D4" w:rsidR="00DF105C" w:rsidRPr="00D63249" w:rsidRDefault="007473E0" w:rsidP="00906B0D">
      <w:pPr>
        <w:tabs>
          <w:tab w:val="num" w:pos="1980"/>
        </w:tabs>
        <w:autoSpaceDE/>
        <w:autoSpaceDN/>
        <w:ind w:left="360" w:right="288"/>
        <w:jc w:val="both"/>
        <w:rPr>
          <w:szCs w:val="22"/>
        </w:rPr>
      </w:pPr>
      <w:r>
        <w:rPr>
          <w:szCs w:val="22"/>
        </w:rPr>
        <w:t>2001</w:t>
      </w:r>
      <w:r>
        <w:rPr>
          <w:szCs w:val="22"/>
        </w:rPr>
        <w:tab/>
      </w:r>
      <w:r w:rsidR="00DF105C" w:rsidRPr="00D63249">
        <w:rPr>
          <w:szCs w:val="22"/>
        </w:rPr>
        <w:t>Inter-Professional Council Professional Development Fund Award</w:t>
      </w:r>
    </w:p>
    <w:p w14:paraId="67D56224" w14:textId="3C151D39" w:rsidR="00DF105C" w:rsidRPr="00D63249" w:rsidRDefault="007473E0" w:rsidP="00906B0D">
      <w:pPr>
        <w:tabs>
          <w:tab w:val="num" w:pos="1980"/>
        </w:tabs>
        <w:autoSpaceDE/>
        <w:autoSpaceDN/>
        <w:ind w:left="360" w:right="288"/>
        <w:jc w:val="both"/>
        <w:rPr>
          <w:szCs w:val="22"/>
        </w:rPr>
      </w:pPr>
      <w:r>
        <w:rPr>
          <w:szCs w:val="22"/>
        </w:rPr>
        <w:t>2001</w:t>
      </w:r>
      <w:r>
        <w:rPr>
          <w:szCs w:val="22"/>
        </w:rPr>
        <w:tab/>
      </w:r>
      <w:proofErr w:type="spellStart"/>
      <w:r w:rsidR="00DF105C" w:rsidRPr="00D63249">
        <w:rPr>
          <w:szCs w:val="22"/>
        </w:rPr>
        <w:t>Landacre</w:t>
      </w:r>
      <w:proofErr w:type="spellEnd"/>
      <w:r w:rsidR="00DF105C" w:rsidRPr="00D63249">
        <w:rPr>
          <w:szCs w:val="22"/>
        </w:rPr>
        <w:t xml:space="preserve"> Research Honors Society</w:t>
      </w:r>
    </w:p>
    <w:p w14:paraId="68AE0BF4" w14:textId="5B8BBE50" w:rsidR="004D287C" w:rsidRPr="00D63249" w:rsidRDefault="004D287C" w:rsidP="00906B0D">
      <w:pPr>
        <w:tabs>
          <w:tab w:val="num" w:pos="1980"/>
        </w:tabs>
        <w:ind w:left="2520" w:right="288" w:hanging="2160"/>
        <w:jc w:val="both"/>
        <w:rPr>
          <w:szCs w:val="22"/>
        </w:rPr>
      </w:pPr>
      <w:r w:rsidRPr="00D63249">
        <w:rPr>
          <w:szCs w:val="22"/>
        </w:rPr>
        <w:t>2001</w:t>
      </w:r>
      <w:r w:rsidRPr="00D63249">
        <w:rPr>
          <w:szCs w:val="22"/>
        </w:rPr>
        <w:tab/>
        <w:t>Most Innovative Basic Science Presentation, Eastern S</w:t>
      </w:r>
      <w:r w:rsidR="00F25E57">
        <w:rPr>
          <w:szCs w:val="22"/>
        </w:rPr>
        <w:t>tudent Research Forum</w:t>
      </w:r>
    </w:p>
    <w:p w14:paraId="780D71F2" w14:textId="0C49212A" w:rsidR="004D287C" w:rsidRPr="00D63249" w:rsidRDefault="004D287C" w:rsidP="00906B0D">
      <w:pPr>
        <w:tabs>
          <w:tab w:val="num" w:pos="198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2001</w:t>
      </w:r>
      <w:r w:rsidRPr="00D63249">
        <w:rPr>
          <w:szCs w:val="22"/>
        </w:rPr>
        <w:tab/>
      </w:r>
      <w:r w:rsidRPr="005657ED">
        <w:rPr>
          <w:b/>
          <w:i/>
          <w:szCs w:val="22"/>
        </w:rPr>
        <w:t>American Diabetes Association Medical Scholars Award</w:t>
      </w:r>
    </w:p>
    <w:p w14:paraId="1042E8EC" w14:textId="3D298DDB" w:rsidR="00DF105C" w:rsidRPr="00D63249" w:rsidRDefault="00DF105C" w:rsidP="00906B0D">
      <w:pPr>
        <w:tabs>
          <w:tab w:val="num" w:pos="198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2002-2007</w:t>
      </w:r>
      <w:r w:rsidRPr="00D63249">
        <w:rPr>
          <w:szCs w:val="22"/>
        </w:rPr>
        <w:tab/>
        <w:t xml:space="preserve">Medical Scientist Program Fellowship, </w:t>
      </w:r>
      <w:r w:rsidR="005657ED">
        <w:rPr>
          <w:szCs w:val="22"/>
        </w:rPr>
        <w:t>The Ohio State University</w:t>
      </w:r>
    </w:p>
    <w:p w14:paraId="06E7BC15" w14:textId="3BC0726F" w:rsidR="00DF105C" w:rsidRPr="00D63249" w:rsidRDefault="00DF105C" w:rsidP="00906B0D">
      <w:pPr>
        <w:tabs>
          <w:tab w:val="num" w:pos="198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2002</w:t>
      </w:r>
      <w:r w:rsidRPr="00D63249">
        <w:rPr>
          <w:szCs w:val="22"/>
        </w:rPr>
        <w:tab/>
        <w:t>Most Outstanding Poster Presentat</w:t>
      </w:r>
      <w:r w:rsidR="00CD771B" w:rsidRPr="00D63249">
        <w:rPr>
          <w:szCs w:val="22"/>
        </w:rPr>
        <w:t>ion</w:t>
      </w:r>
      <w:r w:rsidRPr="00D63249">
        <w:rPr>
          <w:szCs w:val="22"/>
        </w:rPr>
        <w:t xml:space="preserve"> </w:t>
      </w:r>
      <w:r w:rsidR="005657ED">
        <w:rPr>
          <w:szCs w:val="22"/>
        </w:rPr>
        <w:t>OSU</w:t>
      </w:r>
      <w:r w:rsidRPr="00D63249">
        <w:rPr>
          <w:szCs w:val="22"/>
        </w:rPr>
        <w:t xml:space="preserve"> Health Sciences Research Day</w:t>
      </w:r>
    </w:p>
    <w:p w14:paraId="26368001" w14:textId="2119E7C9" w:rsidR="00DF105C" w:rsidRPr="00D63249" w:rsidRDefault="00DF105C"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2002</w:t>
      </w:r>
      <w:r w:rsidRPr="00D63249">
        <w:rPr>
          <w:szCs w:val="22"/>
        </w:rPr>
        <w:tab/>
        <w:t>Zollinger-Ellison Scholarship Fund Award</w:t>
      </w:r>
    </w:p>
    <w:p w14:paraId="2976B10A" w14:textId="5156F607" w:rsidR="00DF105C" w:rsidRPr="00D63249" w:rsidRDefault="00DF105C"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2002</w:t>
      </w:r>
      <w:r w:rsidRPr="00D63249">
        <w:rPr>
          <w:szCs w:val="22"/>
        </w:rPr>
        <w:tab/>
        <w:t xml:space="preserve">Most Outstanding Presentation in Surgery, National Student Research Forum, </w:t>
      </w:r>
    </w:p>
    <w:p w14:paraId="1AE8927D" w14:textId="05D203D8" w:rsidR="00DF105C" w:rsidRPr="00D63249" w:rsidRDefault="00DF105C"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2002-2005</w:t>
      </w:r>
      <w:r w:rsidRPr="00D63249">
        <w:rPr>
          <w:szCs w:val="22"/>
        </w:rPr>
        <w:tab/>
      </w:r>
      <w:r w:rsidR="00CD771B" w:rsidRPr="005657ED">
        <w:rPr>
          <w:b/>
          <w:i/>
          <w:szCs w:val="22"/>
        </w:rPr>
        <w:t>American Diabetes Association Physician Scientist Training Award</w:t>
      </w:r>
    </w:p>
    <w:p w14:paraId="1133A873" w14:textId="5C9EF769" w:rsidR="00CD771B" w:rsidRPr="00D63249" w:rsidRDefault="00CD771B"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2003</w:t>
      </w:r>
      <w:r w:rsidRPr="00D63249">
        <w:rPr>
          <w:szCs w:val="22"/>
        </w:rPr>
        <w:tab/>
        <w:t>Marion K. Hume Endowed National P.E.O. Scholars Award</w:t>
      </w:r>
    </w:p>
    <w:p w14:paraId="598669B5" w14:textId="72A8D584" w:rsidR="00CD771B" w:rsidRPr="00D63249" w:rsidRDefault="00CD771B"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2003</w:t>
      </w:r>
      <w:r w:rsidRPr="00D63249">
        <w:rPr>
          <w:szCs w:val="22"/>
        </w:rPr>
        <w:tab/>
        <w:t>Travel Award for 2003 Basic Science Symposium</w:t>
      </w:r>
    </w:p>
    <w:p w14:paraId="50053400" w14:textId="52A1BD9B" w:rsidR="00CD771B" w:rsidRPr="00D63249" w:rsidRDefault="00CD771B"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2004</w:t>
      </w:r>
      <w:r w:rsidRPr="00D63249">
        <w:rPr>
          <w:szCs w:val="22"/>
        </w:rPr>
        <w:tab/>
        <w:t>2</w:t>
      </w:r>
      <w:r w:rsidRPr="00D63249">
        <w:rPr>
          <w:szCs w:val="22"/>
          <w:vertAlign w:val="superscript"/>
        </w:rPr>
        <w:t>nd</w:t>
      </w:r>
      <w:r w:rsidRPr="00D63249">
        <w:rPr>
          <w:szCs w:val="22"/>
        </w:rPr>
        <w:t xml:space="preserve"> Place Overall Poster Presentation </w:t>
      </w:r>
      <w:r w:rsidR="00F25E57">
        <w:rPr>
          <w:szCs w:val="22"/>
        </w:rPr>
        <w:t>OSU</w:t>
      </w:r>
      <w:r w:rsidRPr="00D63249">
        <w:rPr>
          <w:szCs w:val="22"/>
        </w:rPr>
        <w:t xml:space="preserve"> Health Sciences Research Day</w:t>
      </w:r>
    </w:p>
    <w:p w14:paraId="5475684D" w14:textId="4561B40C" w:rsidR="00CD771B" w:rsidRPr="00D63249" w:rsidRDefault="00CD771B"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 xml:space="preserve">2005 </w:t>
      </w:r>
      <w:r w:rsidRPr="00D63249">
        <w:rPr>
          <w:szCs w:val="22"/>
        </w:rPr>
        <w:tab/>
        <w:t>Chancellor’s List</w:t>
      </w:r>
    </w:p>
    <w:p w14:paraId="3AFADF9F" w14:textId="144A2567" w:rsidR="00CD771B" w:rsidRPr="00D63249" w:rsidRDefault="00CD771B"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2005</w:t>
      </w:r>
      <w:r w:rsidRPr="00D63249">
        <w:rPr>
          <w:szCs w:val="22"/>
        </w:rPr>
        <w:tab/>
        <w:t>Medical Student Council Professional Development Fund Award</w:t>
      </w:r>
    </w:p>
    <w:p w14:paraId="7B899145" w14:textId="439027A1" w:rsidR="00CD771B" w:rsidRPr="00D63249" w:rsidRDefault="00CD771B"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2005</w:t>
      </w:r>
      <w:r w:rsidRPr="00D63249">
        <w:rPr>
          <w:szCs w:val="22"/>
        </w:rPr>
        <w:tab/>
        <w:t>Inter-Professional Council Professional Development Fund Award</w:t>
      </w:r>
    </w:p>
    <w:p w14:paraId="0C4D367D" w14:textId="57B53BC6" w:rsidR="00CD771B" w:rsidRPr="00D63249" w:rsidRDefault="00CD771B"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2005</w:t>
      </w:r>
      <w:r w:rsidRPr="00D63249">
        <w:rPr>
          <w:szCs w:val="22"/>
        </w:rPr>
        <w:tab/>
        <w:t>Critical Difference for Women Professional Development Award</w:t>
      </w:r>
    </w:p>
    <w:p w14:paraId="5EC30D58" w14:textId="6FF6BFDB" w:rsidR="00CD771B" w:rsidRPr="00D63249" w:rsidRDefault="00CD771B"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2006</w:t>
      </w:r>
      <w:r w:rsidRPr="00D63249">
        <w:rPr>
          <w:szCs w:val="22"/>
        </w:rPr>
        <w:tab/>
        <w:t>The Ohio State University Surgery Honors Program</w:t>
      </w:r>
    </w:p>
    <w:p w14:paraId="7BE3DF34" w14:textId="3E89E092" w:rsidR="00CD771B" w:rsidRPr="00D63249" w:rsidRDefault="00CD771B"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2006</w:t>
      </w:r>
      <w:r w:rsidRPr="00D63249">
        <w:rPr>
          <w:szCs w:val="22"/>
        </w:rPr>
        <w:tab/>
        <w:t>Chancellor’s List</w:t>
      </w:r>
    </w:p>
    <w:p w14:paraId="6AF11A46" w14:textId="75EAA731" w:rsidR="00CD771B" w:rsidRPr="00D63249" w:rsidRDefault="00CD771B" w:rsidP="00906B0D">
      <w:pPr>
        <w:tabs>
          <w:tab w:val="num" w:pos="19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ind w:left="2520" w:right="288" w:hanging="2160"/>
        <w:jc w:val="both"/>
        <w:rPr>
          <w:szCs w:val="22"/>
        </w:rPr>
      </w:pPr>
      <w:r w:rsidRPr="00D63249">
        <w:rPr>
          <w:szCs w:val="22"/>
        </w:rPr>
        <w:t>2007</w:t>
      </w:r>
      <w:r w:rsidRPr="00D63249">
        <w:rPr>
          <w:szCs w:val="22"/>
        </w:rPr>
        <w:tab/>
        <w:t>Zollinger Award in Surgery</w:t>
      </w:r>
    </w:p>
    <w:p w14:paraId="194E0512" w14:textId="3296B3AD" w:rsidR="00DF105C" w:rsidRPr="00D63249" w:rsidRDefault="00CD771B" w:rsidP="00906B0D">
      <w:pPr>
        <w:tabs>
          <w:tab w:val="left" w:pos="940"/>
          <w:tab w:val="num" w:pos="1980"/>
        </w:tabs>
        <w:ind w:left="2520" w:right="288" w:hanging="2160"/>
        <w:jc w:val="both"/>
        <w:rPr>
          <w:szCs w:val="22"/>
        </w:rPr>
      </w:pPr>
      <w:r w:rsidRPr="00D63249">
        <w:rPr>
          <w:szCs w:val="22"/>
        </w:rPr>
        <w:t>2007</w:t>
      </w:r>
      <w:r w:rsidRPr="00D63249">
        <w:rPr>
          <w:szCs w:val="22"/>
        </w:rPr>
        <w:tab/>
      </w:r>
      <w:r w:rsidRPr="00D63249">
        <w:rPr>
          <w:szCs w:val="22"/>
        </w:rPr>
        <w:tab/>
        <w:t xml:space="preserve">Medical Scientist Award, The Ohio State University College of Medicine </w:t>
      </w:r>
    </w:p>
    <w:p w14:paraId="695DE1B3" w14:textId="7CABF565" w:rsidR="00CD771B" w:rsidRPr="00D63249" w:rsidRDefault="00CD771B" w:rsidP="00906B0D">
      <w:pPr>
        <w:tabs>
          <w:tab w:val="left" w:pos="940"/>
          <w:tab w:val="num" w:pos="1980"/>
        </w:tabs>
        <w:ind w:left="2520" w:right="288" w:hanging="2160"/>
        <w:jc w:val="both"/>
        <w:rPr>
          <w:szCs w:val="22"/>
        </w:rPr>
      </w:pPr>
      <w:r w:rsidRPr="00D63249">
        <w:rPr>
          <w:szCs w:val="22"/>
        </w:rPr>
        <w:t>2011</w:t>
      </w:r>
      <w:r w:rsidRPr="00D63249">
        <w:rPr>
          <w:szCs w:val="22"/>
        </w:rPr>
        <w:tab/>
      </w:r>
      <w:r w:rsidRPr="00D63249">
        <w:rPr>
          <w:szCs w:val="22"/>
        </w:rPr>
        <w:tab/>
        <w:t>Duke General Surgery ABSITE Performance Award</w:t>
      </w:r>
    </w:p>
    <w:p w14:paraId="6BF21D13" w14:textId="425245A2" w:rsidR="00CD771B" w:rsidRDefault="00CD771B" w:rsidP="00906B0D">
      <w:pPr>
        <w:tabs>
          <w:tab w:val="left" w:pos="940"/>
          <w:tab w:val="num" w:pos="1980"/>
        </w:tabs>
        <w:ind w:left="2520" w:right="288" w:hanging="2160"/>
        <w:jc w:val="both"/>
        <w:rPr>
          <w:szCs w:val="22"/>
        </w:rPr>
      </w:pPr>
      <w:r w:rsidRPr="00D63249">
        <w:rPr>
          <w:szCs w:val="22"/>
        </w:rPr>
        <w:t>2012</w:t>
      </w:r>
      <w:r w:rsidRPr="00D63249">
        <w:rPr>
          <w:szCs w:val="22"/>
        </w:rPr>
        <w:tab/>
      </w:r>
      <w:r w:rsidRPr="00D63249">
        <w:rPr>
          <w:szCs w:val="22"/>
        </w:rPr>
        <w:tab/>
        <w:t>Duke General Surgery Administrative Chief Resident</w:t>
      </w:r>
    </w:p>
    <w:p w14:paraId="786E2191" w14:textId="340A9E67" w:rsidR="00D62E78" w:rsidRDefault="00870FBE" w:rsidP="00D62E78">
      <w:pPr>
        <w:tabs>
          <w:tab w:val="left" w:pos="940"/>
          <w:tab w:val="num" w:pos="1980"/>
        </w:tabs>
        <w:ind w:left="2520" w:right="288" w:hanging="2160"/>
        <w:jc w:val="both"/>
        <w:rPr>
          <w:szCs w:val="22"/>
        </w:rPr>
      </w:pPr>
      <w:r>
        <w:rPr>
          <w:szCs w:val="22"/>
        </w:rPr>
        <w:lastRenderedPageBreak/>
        <w:t>2016</w:t>
      </w:r>
      <w:r>
        <w:rPr>
          <w:szCs w:val="22"/>
        </w:rPr>
        <w:tab/>
      </w:r>
      <w:r>
        <w:rPr>
          <w:szCs w:val="22"/>
        </w:rPr>
        <w:tab/>
        <w:t>Clinician Scientist Recruitment Program Award, Houston Methodist Hospital</w:t>
      </w:r>
    </w:p>
    <w:p w14:paraId="6A4FBB82" w14:textId="79D4DF81" w:rsidR="00E109DF" w:rsidRDefault="007473E0" w:rsidP="007473E0">
      <w:pPr>
        <w:tabs>
          <w:tab w:val="left" w:pos="940"/>
          <w:tab w:val="num" w:pos="1980"/>
        </w:tabs>
        <w:ind w:left="2520" w:right="288" w:hanging="2160"/>
        <w:jc w:val="both"/>
        <w:rPr>
          <w:b/>
          <w:i/>
          <w:szCs w:val="22"/>
        </w:rPr>
      </w:pPr>
      <w:r>
        <w:rPr>
          <w:szCs w:val="22"/>
        </w:rPr>
        <w:t>2017</w:t>
      </w:r>
      <w:r w:rsidR="00D62E78">
        <w:rPr>
          <w:szCs w:val="22"/>
        </w:rPr>
        <w:t>-18, 2019</w:t>
      </w:r>
      <w:r>
        <w:rPr>
          <w:szCs w:val="22"/>
        </w:rPr>
        <w:tab/>
      </w:r>
      <w:r w:rsidRPr="007473E0">
        <w:rPr>
          <w:b/>
          <w:i/>
          <w:szCs w:val="22"/>
        </w:rPr>
        <w:t>NIH NIDDK Extramural Physician Loan Repayment Award</w:t>
      </w:r>
    </w:p>
    <w:p w14:paraId="3DDAD661" w14:textId="77777777" w:rsidR="006723FB" w:rsidRDefault="006723FB" w:rsidP="006723FB">
      <w:pPr>
        <w:tabs>
          <w:tab w:val="left" w:pos="940"/>
          <w:tab w:val="num" w:pos="1980"/>
        </w:tabs>
        <w:ind w:left="2520" w:right="288" w:hanging="2160"/>
        <w:jc w:val="both"/>
        <w:rPr>
          <w:szCs w:val="22"/>
        </w:rPr>
      </w:pPr>
      <w:r>
        <w:rPr>
          <w:szCs w:val="22"/>
        </w:rPr>
        <w:t>2017</w:t>
      </w:r>
      <w:r>
        <w:rPr>
          <w:szCs w:val="22"/>
        </w:rPr>
        <w:tab/>
      </w:r>
      <w:r>
        <w:rPr>
          <w:szCs w:val="22"/>
        </w:rPr>
        <w:tab/>
        <w:t>Fellow of the American College of Surgeons</w:t>
      </w:r>
    </w:p>
    <w:p w14:paraId="7D3E77F7" w14:textId="5414D276" w:rsidR="006723FB" w:rsidRDefault="006723FB" w:rsidP="006723FB">
      <w:pPr>
        <w:tabs>
          <w:tab w:val="left" w:pos="940"/>
          <w:tab w:val="num" w:pos="1980"/>
        </w:tabs>
        <w:ind w:left="2520" w:right="288" w:hanging="2160"/>
        <w:jc w:val="both"/>
        <w:rPr>
          <w:szCs w:val="22"/>
        </w:rPr>
      </w:pPr>
      <w:r>
        <w:rPr>
          <w:szCs w:val="22"/>
        </w:rPr>
        <w:t>2018</w:t>
      </w:r>
      <w:r>
        <w:rPr>
          <w:szCs w:val="22"/>
        </w:rPr>
        <w:tab/>
      </w:r>
      <w:r>
        <w:rPr>
          <w:szCs w:val="22"/>
        </w:rPr>
        <w:tab/>
        <w:t>Association of Women’s Surgeons Foundation Research Fellowship</w:t>
      </w:r>
    </w:p>
    <w:p w14:paraId="608D2B86" w14:textId="77777777" w:rsidR="006723FB" w:rsidRDefault="006723FB" w:rsidP="006723FB">
      <w:pPr>
        <w:tabs>
          <w:tab w:val="left" w:pos="940"/>
          <w:tab w:val="num" w:pos="1980"/>
        </w:tabs>
        <w:ind w:left="2520" w:right="288" w:hanging="2160"/>
        <w:jc w:val="both"/>
        <w:rPr>
          <w:szCs w:val="22"/>
        </w:rPr>
      </w:pPr>
      <w:r>
        <w:rPr>
          <w:szCs w:val="22"/>
        </w:rPr>
        <w:t>2019</w:t>
      </w:r>
      <w:r>
        <w:rPr>
          <w:szCs w:val="22"/>
        </w:rPr>
        <w:tab/>
      </w:r>
      <w:r>
        <w:rPr>
          <w:szCs w:val="22"/>
        </w:rPr>
        <w:tab/>
        <w:t>Super Doctors 2019 Texas Rising Star Award</w:t>
      </w:r>
    </w:p>
    <w:p w14:paraId="39EB4DE3" w14:textId="0F5F1518" w:rsidR="009D0C9E" w:rsidRPr="006723FB" w:rsidRDefault="006723FB" w:rsidP="006723FB">
      <w:pPr>
        <w:tabs>
          <w:tab w:val="left" w:pos="940"/>
          <w:tab w:val="num" w:pos="1980"/>
        </w:tabs>
        <w:ind w:left="2520" w:right="288" w:hanging="2160"/>
        <w:jc w:val="both"/>
        <w:rPr>
          <w:szCs w:val="22"/>
        </w:rPr>
      </w:pPr>
      <w:r>
        <w:rPr>
          <w:szCs w:val="22"/>
        </w:rPr>
        <w:t>2019</w:t>
      </w:r>
      <w:r>
        <w:rPr>
          <w:szCs w:val="22"/>
        </w:rPr>
        <w:tab/>
      </w:r>
      <w:r>
        <w:rPr>
          <w:szCs w:val="22"/>
        </w:rPr>
        <w:tab/>
        <w:t>International Liver Transplant Society Young Investigator Award</w:t>
      </w:r>
    </w:p>
    <w:p w14:paraId="029CC338" w14:textId="694628B2" w:rsidR="00DF105C" w:rsidRPr="00D63249" w:rsidRDefault="00CD771B" w:rsidP="007473E0">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60"/>
        </w:tabs>
        <w:spacing w:before="120"/>
        <w:ind w:right="288"/>
        <w:jc w:val="both"/>
        <w:rPr>
          <w:szCs w:val="22"/>
        </w:rPr>
      </w:pPr>
      <w:r w:rsidRPr="00D63249">
        <w:rPr>
          <w:b/>
          <w:szCs w:val="22"/>
          <w:u w:val="single"/>
        </w:rPr>
        <w:t>Professional Medical and Scientific Society Memberships</w:t>
      </w:r>
    </w:p>
    <w:p w14:paraId="4394347E" w14:textId="70B18F60" w:rsidR="00CD771B" w:rsidRPr="00D63249" w:rsidRDefault="00CD771B" w:rsidP="006723FB">
      <w:pPr>
        <w:tabs>
          <w:tab w:val="left" w:pos="5760"/>
          <w:tab w:val="left" w:pos="6480"/>
          <w:tab w:val="left" w:pos="6840"/>
          <w:tab w:val="left" w:pos="7200"/>
          <w:tab w:val="left" w:pos="7560"/>
          <w:tab w:val="left" w:pos="8260"/>
        </w:tabs>
        <w:ind w:left="360" w:right="288"/>
        <w:jc w:val="both"/>
        <w:rPr>
          <w:szCs w:val="22"/>
        </w:rPr>
      </w:pPr>
      <w:r w:rsidRPr="00D63249">
        <w:rPr>
          <w:szCs w:val="22"/>
        </w:rPr>
        <w:t>Association of Women Surgeons</w:t>
      </w:r>
      <w:r w:rsidR="00906B0D">
        <w:rPr>
          <w:szCs w:val="22"/>
        </w:rPr>
        <w:tab/>
      </w:r>
      <w:r w:rsidR="00906B0D" w:rsidRPr="00D63249">
        <w:rPr>
          <w:szCs w:val="22"/>
        </w:rPr>
        <w:t>American Society of Transplant Surgeons</w:t>
      </w:r>
    </w:p>
    <w:p w14:paraId="6B74702B" w14:textId="3B5756D5" w:rsidR="00CD771B" w:rsidRPr="00D63249" w:rsidRDefault="00CD771B" w:rsidP="006723FB">
      <w:pPr>
        <w:tabs>
          <w:tab w:val="left" w:pos="5760"/>
          <w:tab w:val="left" w:pos="6480"/>
          <w:tab w:val="left" w:pos="6840"/>
          <w:tab w:val="left" w:pos="7200"/>
          <w:tab w:val="left" w:pos="7560"/>
          <w:tab w:val="left" w:pos="8260"/>
        </w:tabs>
        <w:ind w:left="360" w:right="288"/>
        <w:jc w:val="both"/>
        <w:rPr>
          <w:szCs w:val="22"/>
        </w:rPr>
      </w:pPr>
      <w:r w:rsidRPr="00D63249">
        <w:rPr>
          <w:szCs w:val="22"/>
        </w:rPr>
        <w:t>American Physician Scientist Association</w:t>
      </w:r>
      <w:r w:rsidR="00906B0D">
        <w:rPr>
          <w:szCs w:val="22"/>
        </w:rPr>
        <w:tab/>
        <w:t>American Society of Transplantation</w:t>
      </w:r>
    </w:p>
    <w:p w14:paraId="354A3993" w14:textId="00B7EDBF" w:rsidR="00CD771B" w:rsidRDefault="00CD771B" w:rsidP="006723FB">
      <w:pPr>
        <w:tabs>
          <w:tab w:val="left" w:pos="5760"/>
          <w:tab w:val="left" w:pos="6480"/>
          <w:tab w:val="left" w:pos="6840"/>
          <w:tab w:val="left" w:pos="7200"/>
          <w:tab w:val="left" w:pos="7560"/>
          <w:tab w:val="left" w:pos="8260"/>
        </w:tabs>
        <w:ind w:left="360" w:right="288"/>
        <w:jc w:val="both"/>
        <w:rPr>
          <w:szCs w:val="22"/>
        </w:rPr>
      </w:pPr>
      <w:proofErr w:type="spellStart"/>
      <w:r w:rsidRPr="00D63249">
        <w:rPr>
          <w:szCs w:val="22"/>
        </w:rPr>
        <w:t>Sabiston</w:t>
      </w:r>
      <w:proofErr w:type="spellEnd"/>
      <w:r w:rsidRPr="00D63249">
        <w:rPr>
          <w:szCs w:val="22"/>
        </w:rPr>
        <w:t xml:space="preserve"> Surgical Society</w:t>
      </w:r>
      <w:r w:rsidR="00906B0D">
        <w:rPr>
          <w:szCs w:val="22"/>
        </w:rPr>
        <w:tab/>
        <w:t>Association of Academic Surgeons</w:t>
      </w:r>
    </w:p>
    <w:p w14:paraId="5A77BD80" w14:textId="60BD9143" w:rsidR="005657ED" w:rsidRPr="00D63249" w:rsidRDefault="005657ED" w:rsidP="006723FB">
      <w:pPr>
        <w:tabs>
          <w:tab w:val="left" w:pos="5760"/>
          <w:tab w:val="left" w:pos="6480"/>
          <w:tab w:val="left" w:pos="6840"/>
          <w:tab w:val="left" w:pos="7200"/>
          <w:tab w:val="left" w:pos="7560"/>
          <w:tab w:val="left" w:pos="8260"/>
        </w:tabs>
        <w:ind w:left="360" w:right="288"/>
        <w:jc w:val="both"/>
        <w:rPr>
          <w:szCs w:val="22"/>
        </w:rPr>
      </w:pPr>
      <w:r>
        <w:rPr>
          <w:szCs w:val="22"/>
        </w:rPr>
        <w:t>Longmire Surgical Society</w:t>
      </w:r>
      <w:r w:rsidR="00906B0D">
        <w:rPr>
          <w:szCs w:val="22"/>
        </w:rPr>
        <w:tab/>
        <w:t>International Liver Transplant Society</w:t>
      </w:r>
    </w:p>
    <w:p w14:paraId="21F3B728" w14:textId="48DB1B12" w:rsidR="00F25E57" w:rsidRDefault="007473E0" w:rsidP="006723FB">
      <w:pPr>
        <w:tabs>
          <w:tab w:val="left" w:pos="5760"/>
          <w:tab w:val="left" w:pos="6480"/>
          <w:tab w:val="left" w:pos="6840"/>
          <w:tab w:val="left" w:pos="7200"/>
          <w:tab w:val="left" w:pos="7560"/>
          <w:tab w:val="left" w:pos="8260"/>
        </w:tabs>
        <w:ind w:left="360" w:right="288"/>
        <w:jc w:val="both"/>
        <w:rPr>
          <w:szCs w:val="22"/>
        </w:rPr>
      </w:pPr>
      <w:r>
        <w:rPr>
          <w:szCs w:val="22"/>
        </w:rPr>
        <w:t>American College of Surgeons</w:t>
      </w:r>
      <w:r>
        <w:rPr>
          <w:szCs w:val="22"/>
        </w:rPr>
        <w:tab/>
        <w:t>American Medical Association</w:t>
      </w:r>
    </w:p>
    <w:p w14:paraId="18AA608D" w14:textId="1A8EA248" w:rsidR="006723FB" w:rsidRDefault="006723FB" w:rsidP="006723FB">
      <w:pPr>
        <w:tabs>
          <w:tab w:val="left" w:pos="5760"/>
        </w:tabs>
        <w:ind w:firstLine="360"/>
      </w:pPr>
      <w:r>
        <w:t>American Association for the Study of Liver Disease</w:t>
      </w:r>
      <w:r>
        <w:tab/>
        <w:t>American Hepato-Pancreato-Biliary Association</w:t>
      </w:r>
    </w:p>
    <w:p w14:paraId="67EFE471" w14:textId="0EF1AEA1" w:rsidR="004D287C" w:rsidRPr="006723FB" w:rsidRDefault="006723FB" w:rsidP="006723FB">
      <w:pPr>
        <w:tabs>
          <w:tab w:val="left" w:pos="5760"/>
        </w:tabs>
        <w:ind w:firstLine="360"/>
      </w:pPr>
      <w:r>
        <w:t>International Hepato-Pancreato-Biliary Association</w:t>
      </w:r>
    </w:p>
    <w:p w14:paraId="32EE98E8" w14:textId="4567C284" w:rsidR="00523FB1" w:rsidRPr="00FC6118" w:rsidRDefault="00BA3998" w:rsidP="006723FB">
      <w:pPr>
        <w:spacing w:before="120"/>
        <w:rPr>
          <w:b/>
        </w:rPr>
      </w:pPr>
      <w:r w:rsidRPr="00BA3998">
        <w:rPr>
          <w:b/>
        </w:rPr>
        <w:t>C.</w:t>
      </w:r>
      <w:r w:rsidRPr="00BA3998">
        <w:rPr>
          <w:b/>
        </w:rPr>
        <w:tab/>
        <w:t>Contribution to Science</w:t>
      </w:r>
    </w:p>
    <w:p w14:paraId="3121E3C9" w14:textId="77777777" w:rsidR="009D0C9E" w:rsidRPr="002E671A" w:rsidRDefault="009D0C9E" w:rsidP="006723FB">
      <w:pPr>
        <w:rPr>
          <w:b/>
          <w:u w:val="single"/>
        </w:rPr>
      </w:pPr>
      <w:r>
        <w:rPr>
          <w:b/>
          <w:u w:val="single"/>
        </w:rPr>
        <w:t>Selected Pertinent Publications (from over 50)</w:t>
      </w:r>
    </w:p>
    <w:p w14:paraId="50059A02" w14:textId="555F1841" w:rsidR="009D0C9E" w:rsidRPr="006723FB" w:rsidRDefault="009D0C9E" w:rsidP="006723FB">
      <w:pPr>
        <w:pStyle w:val="ListParagraph"/>
        <w:numPr>
          <w:ilvl w:val="0"/>
          <w:numId w:val="26"/>
        </w:numPr>
        <w:jc w:val="both"/>
        <w:rPr>
          <w:szCs w:val="22"/>
        </w:rPr>
      </w:pPr>
      <w:r w:rsidRPr="002E671A">
        <w:rPr>
          <w:szCs w:val="22"/>
        </w:rPr>
        <w:t xml:space="preserve">Hepatocyte transplantation </w:t>
      </w:r>
      <w:r>
        <w:rPr>
          <w:szCs w:val="22"/>
        </w:rPr>
        <w:t>may</w:t>
      </w:r>
      <w:r w:rsidRPr="002E671A">
        <w:rPr>
          <w:szCs w:val="22"/>
        </w:rPr>
        <w:t xml:space="preserve"> potential</w:t>
      </w:r>
      <w:r>
        <w:rPr>
          <w:szCs w:val="22"/>
        </w:rPr>
        <w:t>ly</w:t>
      </w:r>
      <w:r w:rsidRPr="002E671A">
        <w:rPr>
          <w:szCs w:val="22"/>
        </w:rPr>
        <w:t xml:space="preserve"> </w:t>
      </w:r>
      <w:r>
        <w:rPr>
          <w:szCs w:val="22"/>
        </w:rPr>
        <w:t xml:space="preserve">provide </w:t>
      </w:r>
      <w:r w:rsidRPr="002E671A">
        <w:rPr>
          <w:szCs w:val="22"/>
        </w:rPr>
        <w:t xml:space="preserve">definitive treatment for isolated </w:t>
      </w:r>
      <w:r>
        <w:rPr>
          <w:szCs w:val="22"/>
        </w:rPr>
        <w:t xml:space="preserve">liver </w:t>
      </w:r>
      <w:r w:rsidRPr="002E671A">
        <w:rPr>
          <w:szCs w:val="22"/>
        </w:rPr>
        <w:t xml:space="preserve">metabolic disorders or a bridge to transplantation or organ recovery for acute </w:t>
      </w:r>
      <w:r>
        <w:rPr>
          <w:szCs w:val="22"/>
        </w:rPr>
        <w:t>liver failure.  D</w:t>
      </w:r>
      <w:r w:rsidRPr="002E671A">
        <w:rPr>
          <w:szCs w:val="22"/>
        </w:rPr>
        <w:t xml:space="preserve">espite the widespread success of orthotopic liver transplantation, isolated hepatocellular allografts have little long-term success.  Previous work demonstrated that hepatocytes are highly susceptible to nonconventional pathways of acute rejection.  This group of studies (1) analyzed </w:t>
      </w:r>
      <w:r>
        <w:rPr>
          <w:szCs w:val="22"/>
        </w:rPr>
        <w:t>the</w:t>
      </w:r>
      <w:r w:rsidRPr="002E671A">
        <w:rPr>
          <w:szCs w:val="22"/>
        </w:rPr>
        <w:t xml:space="preserve"> (CD4-independent) CD8-mediated rejection pathway, (2) characterized the humoral immune response elicited by allogeneic hepatocytes, (3) characterized costimulatory blockade pathways which abrogate rejection by these non-traditional pathways</w:t>
      </w:r>
      <w:r>
        <w:rPr>
          <w:szCs w:val="22"/>
        </w:rPr>
        <w:t>, and (4) the importance of the site of engraftment in the development of the immune response</w:t>
      </w:r>
      <w:r w:rsidRPr="002E671A">
        <w:rPr>
          <w:szCs w:val="22"/>
        </w:rPr>
        <w:t>.</w:t>
      </w:r>
    </w:p>
    <w:p w14:paraId="01F21293" w14:textId="77777777" w:rsidR="009D0C9E" w:rsidRPr="00B9722E" w:rsidRDefault="009D0C9E" w:rsidP="009D0C9E">
      <w:pPr>
        <w:pStyle w:val="ListParagraph"/>
        <w:numPr>
          <w:ilvl w:val="1"/>
          <w:numId w:val="26"/>
        </w:numPr>
        <w:spacing w:after="120"/>
        <w:ind w:left="720"/>
        <w:jc w:val="both"/>
        <w:rPr>
          <w:szCs w:val="22"/>
        </w:rPr>
      </w:pPr>
      <w:r w:rsidRPr="00B9722E">
        <w:rPr>
          <w:szCs w:val="22"/>
        </w:rPr>
        <w:t>Gao</w:t>
      </w:r>
      <w:r>
        <w:rPr>
          <w:szCs w:val="22"/>
        </w:rPr>
        <w:t xml:space="preserve"> D</w:t>
      </w:r>
      <w:r w:rsidRPr="00B9722E">
        <w:rPr>
          <w:szCs w:val="22"/>
        </w:rPr>
        <w:t xml:space="preserve">, </w:t>
      </w:r>
      <w:r w:rsidRPr="00B9722E">
        <w:rPr>
          <w:b/>
          <w:szCs w:val="22"/>
        </w:rPr>
        <w:t>Lunsford</w:t>
      </w:r>
      <w:r>
        <w:rPr>
          <w:b/>
          <w:szCs w:val="22"/>
        </w:rPr>
        <w:t xml:space="preserve"> KE</w:t>
      </w:r>
      <w:r>
        <w:rPr>
          <w:szCs w:val="22"/>
        </w:rPr>
        <w:t xml:space="preserve">, </w:t>
      </w:r>
      <w:r w:rsidRPr="00B9722E">
        <w:rPr>
          <w:szCs w:val="22"/>
        </w:rPr>
        <w:t>Eiring</w:t>
      </w:r>
      <w:r>
        <w:rPr>
          <w:szCs w:val="22"/>
        </w:rPr>
        <w:t xml:space="preserve"> AE, </w:t>
      </w:r>
      <w:r w:rsidRPr="00B9722E">
        <w:rPr>
          <w:szCs w:val="22"/>
        </w:rPr>
        <w:t>Bumgardner</w:t>
      </w:r>
      <w:r>
        <w:rPr>
          <w:szCs w:val="22"/>
        </w:rPr>
        <w:t xml:space="preserve"> GL</w:t>
      </w:r>
      <w:r w:rsidRPr="00B9722E">
        <w:rPr>
          <w:szCs w:val="22"/>
        </w:rPr>
        <w:t>. Critical role for CD8</w:t>
      </w:r>
      <w:r w:rsidRPr="00B9722E">
        <w:rPr>
          <w:szCs w:val="22"/>
          <w:vertAlign w:val="superscript"/>
        </w:rPr>
        <w:t>+</w:t>
      </w:r>
      <w:r w:rsidRPr="00B9722E">
        <w:rPr>
          <w:szCs w:val="22"/>
        </w:rPr>
        <w:t xml:space="preserve"> T cells in allograft acceptance induced by DST and CD40/CD154 costimulatory blockade.  </w:t>
      </w:r>
      <w:r w:rsidRPr="00B9722E">
        <w:rPr>
          <w:i/>
          <w:szCs w:val="22"/>
        </w:rPr>
        <w:t>American Journal of Transplantation</w:t>
      </w:r>
      <w:r>
        <w:rPr>
          <w:szCs w:val="22"/>
        </w:rPr>
        <w:t xml:space="preserve">.  </w:t>
      </w:r>
      <w:r w:rsidRPr="00B9722E">
        <w:rPr>
          <w:szCs w:val="22"/>
        </w:rPr>
        <w:t>2004, 4(7): 1061-1070.</w:t>
      </w:r>
    </w:p>
    <w:p w14:paraId="3EBF4EB2" w14:textId="77777777" w:rsidR="009D0C9E" w:rsidRPr="00394477" w:rsidRDefault="009D0C9E" w:rsidP="009D0C9E">
      <w:pPr>
        <w:pStyle w:val="ListParagraph"/>
        <w:numPr>
          <w:ilvl w:val="1"/>
          <w:numId w:val="26"/>
        </w:numPr>
        <w:spacing w:after="120"/>
        <w:ind w:left="720"/>
        <w:jc w:val="both"/>
        <w:rPr>
          <w:color w:val="000000"/>
          <w:spacing w:val="-2"/>
          <w:szCs w:val="22"/>
        </w:rPr>
      </w:pPr>
      <w:r w:rsidRPr="00394477">
        <w:rPr>
          <w:color w:val="000000"/>
          <w:spacing w:val="-2"/>
          <w:szCs w:val="22"/>
        </w:rPr>
        <w:t xml:space="preserve">Horne PH, </w:t>
      </w:r>
      <w:r w:rsidRPr="00394477">
        <w:rPr>
          <w:b/>
          <w:color w:val="000000"/>
          <w:spacing w:val="-2"/>
          <w:szCs w:val="22"/>
        </w:rPr>
        <w:t>Lunsford KE</w:t>
      </w:r>
      <w:r w:rsidRPr="00394477">
        <w:rPr>
          <w:color w:val="000000"/>
          <w:spacing w:val="-2"/>
          <w:szCs w:val="22"/>
        </w:rPr>
        <w:t>, Eiring AM, Wang Y, Gao D, Bumgardner GL.  CD4</w:t>
      </w:r>
      <w:r w:rsidRPr="00394477">
        <w:rPr>
          <w:color w:val="000000"/>
          <w:spacing w:val="-2"/>
          <w:szCs w:val="22"/>
          <w:vertAlign w:val="superscript"/>
        </w:rPr>
        <w:t>+</w:t>
      </w:r>
      <w:r w:rsidRPr="00394477">
        <w:rPr>
          <w:color w:val="000000"/>
          <w:spacing w:val="-2"/>
          <w:szCs w:val="22"/>
        </w:rPr>
        <w:t xml:space="preserve"> T-cell-dependent immune damage of liver parenchymal cells is mediated by alloantibody.  </w:t>
      </w:r>
      <w:r w:rsidRPr="00394477">
        <w:rPr>
          <w:i/>
          <w:color w:val="000000"/>
          <w:spacing w:val="-2"/>
          <w:szCs w:val="22"/>
        </w:rPr>
        <w:t>Transplantation</w:t>
      </w:r>
      <w:r w:rsidRPr="00394477">
        <w:rPr>
          <w:color w:val="000000"/>
          <w:spacing w:val="-2"/>
          <w:szCs w:val="22"/>
        </w:rPr>
        <w:t>.  2005, 80(4):  514-521.</w:t>
      </w:r>
    </w:p>
    <w:p w14:paraId="4C3ACC78" w14:textId="77777777" w:rsidR="009D0C9E" w:rsidRPr="00B9722E" w:rsidRDefault="009D0C9E" w:rsidP="009D0C9E">
      <w:pPr>
        <w:pStyle w:val="ListParagraph"/>
        <w:numPr>
          <w:ilvl w:val="1"/>
          <w:numId w:val="26"/>
        </w:numPr>
        <w:spacing w:after="120"/>
        <w:ind w:left="720"/>
        <w:jc w:val="both"/>
        <w:rPr>
          <w:color w:val="000000"/>
          <w:szCs w:val="22"/>
        </w:rPr>
      </w:pPr>
      <w:r>
        <w:rPr>
          <w:b/>
          <w:color w:val="000000"/>
          <w:szCs w:val="22"/>
        </w:rPr>
        <w:t>Lunsford</w:t>
      </w:r>
      <w:r w:rsidRPr="00B9722E">
        <w:rPr>
          <w:b/>
          <w:color w:val="000000"/>
          <w:szCs w:val="22"/>
        </w:rPr>
        <w:t xml:space="preserve"> K</w:t>
      </w:r>
      <w:r>
        <w:rPr>
          <w:b/>
          <w:color w:val="000000"/>
          <w:szCs w:val="22"/>
        </w:rPr>
        <w:t>E</w:t>
      </w:r>
      <w:r w:rsidRPr="00B9722E">
        <w:rPr>
          <w:b/>
          <w:color w:val="000000"/>
          <w:szCs w:val="22"/>
        </w:rPr>
        <w:t xml:space="preserve">, </w:t>
      </w:r>
      <w:r w:rsidRPr="00B9722E">
        <w:rPr>
          <w:color w:val="000000"/>
          <w:szCs w:val="22"/>
        </w:rPr>
        <w:t>Horne</w:t>
      </w:r>
      <w:r>
        <w:rPr>
          <w:color w:val="000000"/>
          <w:szCs w:val="22"/>
        </w:rPr>
        <w:t xml:space="preserve"> PH</w:t>
      </w:r>
      <w:r w:rsidRPr="00B9722E">
        <w:rPr>
          <w:color w:val="000000"/>
          <w:szCs w:val="22"/>
        </w:rPr>
        <w:t>, Koester</w:t>
      </w:r>
      <w:r>
        <w:rPr>
          <w:color w:val="000000"/>
          <w:szCs w:val="22"/>
        </w:rPr>
        <w:t xml:space="preserve"> MA</w:t>
      </w:r>
      <w:r w:rsidRPr="00B9722E">
        <w:rPr>
          <w:color w:val="000000"/>
          <w:szCs w:val="22"/>
        </w:rPr>
        <w:t xml:space="preserve">, </w:t>
      </w:r>
      <w:proofErr w:type="spellStart"/>
      <w:r w:rsidRPr="00B9722E">
        <w:rPr>
          <w:color w:val="000000"/>
          <w:szCs w:val="22"/>
        </w:rPr>
        <w:t>Dzeima</w:t>
      </w:r>
      <w:proofErr w:type="spellEnd"/>
      <w:r>
        <w:rPr>
          <w:color w:val="000000"/>
          <w:szCs w:val="22"/>
        </w:rPr>
        <w:t xml:space="preserve"> HL</w:t>
      </w:r>
      <w:r w:rsidRPr="00B9722E">
        <w:rPr>
          <w:color w:val="000000"/>
          <w:szCs w:val="22"/>
        </w:rPr>
        <w:t xml:space="preserve">, </w:t>
      </w:r>
      <w:proofErr w:type="spellStart"/>
      <w:r w:rsidRPr="00B9722E">
        <w:rPr>
          <w:color w:val="000000"/>
          <w:szCs w:val="22"/>
        </w:rPr>
        <w:t>Eiring</w:t>
      </w:r>
      <w:proofErr w:type="spellEnd"/>
      <w:r>
        <w:rPr>
          <w:color w:val="000000"/>
          <w:szCs w:val="22"/>
        </w:rPr>
        <w:t xml:space="preserve"> AM</w:t>
      </w:r>
      <w:r w:rsidRPr="00B9722E">
        <w:rPr>
          <w:color w:val="000000"/>
          <w:szCs w:val="22"/>
        </w:rPr>
        <w:t xml:space="preserve">, Walker </w:t>
      </w:r>
      <w:r>
        <w:rPr>
          <w:color w:val="000000"/>
          <w:szCs w:val="22"/>
        </w:rPr>
        <w:t xml:space="preserve">JP, </w:t>
      </w:r>
      <w:r w:rsidRPr="00B9722E">
        <w:rPr>
          <w:color w:val="000000"/>
          <w:szCs w:val="22"/>
        </w:rPr>
        <w:t>Bumgardner</w:t>
      </w:r>
      <w:r>
        <w:rPr>
          <w:color w:val="000000"/>
          <w:szCs w:val="22"/>
        </w:rPr>
        <w:t xml:space="preserve"> GL</w:t>
      </w:r>
      <w:r w:rsidRPr="00B9722E">
        <w:rPr>
          <w:color w:val="000000"/>
          <w:szCs w:val="22"/>
        </w:rPr>
        <w:t>.  Activation and maturation of alloreactive CD4-independent, CD8</w:t>
      </w:r>
      <w:r w:rsidRPr="00B9722E">
        <w:rPr>
          <w:color w:val="000000"/>
          <w:szCs w:val="22"/>
          <w:vertAlign w:val="superscript"/>
        </w:rPr>
        <w:t>+</w:t>
      </w:r>
      <w:r w:rsidRPr="00B9722E">
        <w:rPr>
          <w:color w:val="000000"/>
          <w:szCs w:val="22"/>
        </w:rPr>
        <w:t xml:space="preserve"> cytolytic T cells.  </w:t>
      </w:r>
      <w:r w:rsidRPr="00B9722E">
        <w:rPr>
          <w:i/>
          <w:color w:val="000000"/>
          <w:szCs w:val="22"/>
        </w:rPr>
        <w:t>American Journal of Transplantation</w:t>
      </w:r>
      <w:r>
        <w:rPr>
          <w:color w:val="000000"/>
          <w:szCs w:val="22"/>
        </w:rPr>
        <w:t xml:space="preserve">.  2006, 6(10): 2268-81. </w:t>
      </w:r>
    </w:p>
    <w:p w14:paraId="06C30538" w14:textId="77777777" w:rsidR="009D0C9E" w:rsidRDefault="009D0C9E" w:rsidP="009D0C9E">
      <w:pPr>
        <w:pStyle w:val="ListParagraph"/>
        <w:numPr>
          <w:ilvl w:val="1"/>
          <w:numId w:val="26"/>
        </w:numPr>
        <w:ind w:left="720"/>
        <w:jc w:val="both"/>
        <w:rPr>
          <w:color w:val="000000"/>
          <w:szCs w:val="22"/>
        </w:rPr>
      </w:pPr>
      <w:r w:rsidRPr="00870FBE">
        <w:rPr>
          <w:color w:val="000000"/>
          <w:szCs w:val="22"/>
        </w:rPr>
        <w:t xml:space="preserve">Horne PH, </w:t>
      </w:r>
      <w:r w:rsidRPr="00870FBE">
        <w:rPr>
          <w:b/>
          <w:color w:val="000000"/>
          <w:szCs w:val="22"/>
        </w:rPr>
        <w:t>Lunsford KE,</w:t>
      </w:r>
      <w:r w:rsidRPr="00870FBE">
        <w:rPr>
          <w:color w:val="000000"/>
          <w:szCs w:val="22"/>
        </w:rPr>
        <w:t xml:space="preserve"> Walker JP, Koester MA, Bumgardner GL.  Recipient immune repertoire and engraftment site influence the immune pathway effecting acute </w:t>
      </w:r>
      <w:proofErr w:type="spellStart"/>
      <w:r w:rsidRPr="00870FBE">
        <w:rPr>
          <w:color w:val="000000"/>
          <w:szCs w:val="22"/>
        </w:rPr>
        <w:t>hepatocellullar</w:t>
      </w:r>
      <w:proofErr w:type="spellEnd"/>
      <w:r w:rsidRPr="00870FBE">
        <w:rPr>
          <w:color w:val="000000"/>
          <w:szCs w:val="22"/>
        </w:rPr>
        <w:t xml:space="preserve"> allograft rejection.  </w:t>
      </w:r>
      <w:r w:rsidRPr="00DE2521">
        <w:rPr>
          <w:i/>
          <w:color w:val="000000"/>
          <w:szCs w:val="22"/>
        </w:rPr>
        <w:t>Cell Transplantation.</w:t>
      </w:r>
      <w:r w:rsidRPr="00870FBE">
        <w:rPr>
          <w:color w:val="000000"/>
          <w:szCs w:val="22"/>
        </w:rPr>
        <w:t xml:space="preserve">  2008, 17(7):  829-844.</w:t>
      </w:r>
    </w:p>
    <w:p w14:paraId="02ABDEDC" w14:textId="77777777" w:rsidR="009D0C9E" w:rsidRPr="00806058" w:rsidRDefault="009D0C9E" w:rsidP="009D0C9E">
      <w:pPr>
        <w:pStyle w:val="TOAHeading"/>
        <w:tabs>
          <w:tab w:val="clear" w:pos="9360"/>
        </w:tabs>
        <w:suppressAutoHyphens w:val="0"/>
        <w:ind w:left="360"/>
        <w:jc w:val="both"/>
        <w:rPr>
          <w:rFonts w:ascii="Arial" w:hAnsi="Arial"/>
          <w:sz w:val="10"/>
          <w:szCs w:val="10"/>
        </w:rPr>
      </w:pPr>
    </w:p>
    <w:p w14:paraId="5DCA604D" w14:textId="1077EE16" w:rsidR="009D0C9E" w:rsidRPr="006723FB" w:rsidRDefault="009D0C9E" w:rsidP="009D0C9E">
      <w:pPr>
        <w:pStyle w:val="TOAHeading"/>
        <w:numPr>
          <w:ilvl w:val="0"/>
          <w:numId w:val="26"/>
        </w:numPr>
        <w:tabs>
          <w:tab w:val="clear" w:pos="9360"/>
        </w:tabs>
        <w:suppressAutoHyphens w:val="0"/>
        <w:jc w:val="both"/>
        <w:rPr>
          <w:rFonts w:ascii="Arial" w:hAnsi="Arial"/>
          <w:sz w:val="22"/>
          <w:szCs w:val="22"/>
        </w:rPr>
      </w:pPr>
      <w:r w:rsidRPr="00B9722E">
        <w:rPr>
          <w:rFonts w:ascii="Arial" w:hAnsi="Arial"/>
          <w:sz w:val="22"/>
          <w:szCs w:val="22"/>
        </w:rPr>
        <w:t xml:space="preserve">Since the 1960s, islet transplantation </w:t>
      </w:r>
      <w:r>
        <w:rPr>
          <w:rFonts w:ascii="Arial" w:hAnsi="Arial"/>
          <w:sz w:val="22"/>
          <w:szCs w:val="22"/>
        </w:rPr>
        <w:t>has been</w:t>
      </w:r>
      <w:r w:rsidRPr="00B9722E">
        <w:rPr>
          <w:rFonts w:ascii="Arial" w:hAnsi="Arial"/>
          <w:sz w:val="22"/>
          <w:szCs w:val="22"/>
        </w:rPr>
        <w:t xml:space="preserve"> considered a potential cure of Typ</w:t>
      </w:r>
      <w:r>
        <w:rPr>
          <w:rFonts w:ascii="Arial" w:hAnsi="Arial"/>
          <w:sz w:val="22"/>
          <w:szCs w:val="22"/>
        </w:rPr>
        <w:t>e I Diabetes Mellitus.  Despite promising experimental results, little success was achieved in</w:t>
      </w:r>
      <w:r w:rsidRPr="00B9722E">
        <w:rPr>
          <w:rFonts w:ascii="Arial" w:hAnsi="Arial"/>
          <w:sz w:val="22"/>
          <w:szCs w:val="22"/>
        </w:rPr>
        <w:t xml:space="preserve"> human trials.  In 2002, the Edmonton Protocol established successful islet engraftment in the majority of recipient, but longer-term follow-up demonstrated </w:t>
      </w:r>
      <w:r>
        <w:rPr>
          <w:rFonts w:ascii="Arial" w:hAnsi="Arial"/>
          <w:sz w:val="22"/>
          <w:szCs w:val="22"/>
        </w:rPr>
        <w:t xml:space="preserve">late </w:t>
      </w:r>
      <w:r w:rsidRPr="00B9722E">
        <w:rPr>
          <w:rFonts w:ascii="Arial" w:hAnsi="Arial"/>
          <w:sz w:val="22"/>
          <w:szCs w:val="22"/>
        </w:rPr>
        <w:t xml:space="preserve">failure islet transplants.  </w:t>
      </w:r>
      <w:r>
        <w:rPr>
          <w:rFonts w:ascii="Arial" w:hAnsi="Arial"/>
          <w:sz w:val="22"/>
          <w:szCs w:val="22"/>
        </w:rPr>
        <w:t xml:space="preserve">These </w:t>
      </w:r>
      <w:r w:rsidRPr="00B9722E">
        <w:rPr>
          <w:rFonts w:ascii="Arial" w:hAnsi="Arial"/>
          <w:sz w:val="22"/>
          <w:szCs w:val="22"/>
        </w:rPr>
        <w:t xml:space="preserve">studies evaluated (1) the immune response elicited by islet allografts in comparison to other tissues, (2) the impact microenvironment on islet allograft acceptance and rejection, </w:t>
      </w:r>
      <w:r>
        <w:rPr>
          <w:rFonts w:ascii="Arial" w:hAnsi="Arial"/>
          <w:sz w:val="22"/>
          <w:szCs w:val="22"/>
        </w:rPr>
        <w:t xml:space="preserve">and </w:t>
      </w:r>
      <w:r w:rsidRPr="00B9722E">
        <w:rPr>
          <w:rFonts w:ascii="Arial" w:hAnsi="Arial"/>
          <w:sz w:val="22"/>
          <w:szCs w:val="22"/>
        </w:rPr>
        <w:t xml:space="preserve">(3) the ability of nontraditional </w:t>
      </w:r>
      <w:r>
        <w:rPr>
          <w:rFonts w:ascii="Arial" w:hAnsi="Arial"/>
          <w:sz w:val="22"/>
          <w:szCs w:val="22"/>
        </w:rPr>
        <w:t xml:space="preserve">immune </w:t>
      </w:r>
      <w:r w:rsidRPr="00B9722E">
        <w:rPr>
          <w:rFonts w:ascii="Arial" w:hAnsi="Arial"/>
          <w:sz w:val="22"/>
          <w:szCs w:val="22"/>
        </w:rPr>
        <w:t xml:space="preserve">pathways to disrupt long-term islet </w:t>
      </w:r>
      <w:r>
        <w:rPr>
          <w:rFonts w:ascii="Arial" w:hAnsi="Arial"/>
          <w:sz w:val="22"/>
          <w:szCs w:val="22"/>
        </w:rPr>
        <w:t>acceptance</w:t>
      </w:r>
      <w:r w:rsidRPr="00B9722E">
        <w:rPr>
          <w:rFonts w:ascii="Arial" w:hAnsi="Arial"/>
          <w:sz w:val="22"/>
          <w:szCs w:val="22"/>
        </w:rPr>
        <w:t xml:space="preserve">. </w:t>
      </w:r>
      <w:r>
        <w:rPr>
          <w:rFonts w:ascii="Arial" w:hAnsi="Arial"/>
          <w:sz w:val="22"/>
          <w:szCs w:val="22"/>
        </w:rPr>
        <w:t>Importantly, i</w:t>
      </w:r>
      <w:r w:rsidRPr="00B9722E">
        <w:rPr>
          <w:rFonts w:ascii="Arial" w:hAnsi="Arial"/>
          <w:sz w:val="22"/>
          <w:szCs w:val="22"/>
        </w:rPr>
        <w:t>slet transplant failure in the context of local inflammation was not dependent upon traditional rejection responses (CD4</w:t>
      </w:r>
      <w:r w:rsidRPr="00B9722E">
        <w:rPr>
          <w:rFonts w:ascii="Arial" w:hAnsi="Arial"/>
          <w:sz w:val="22"/>
          <w:szCs w:val="22"/>
          <w:vertAlign w:val="superscript"/>
        </w:rPr>
        <w:t>+</w:t>
      </w:r>
      <w:r w:rsidRPr="00B9722E">
        <w:rPr>
          <w:rFonts w:ascii="Arial" w:hAnsi="Arial"/>
          <w:sz w:val="22"/>
          <w:szCs w:val="22"/>
        </w:rPr>
        <w:t xml:space="preserve"> T cell dependent</w:t>
      </w:r>
      <w:proofErr w:type="gramStart"/>
      <w:r w:rsidRPr="00B9722E">
        <w:rPr>
          <w:rFonts w:ascii="Arial" w:hAnsi="Arial"/>
          <w:sz w:val="22"/>
          <w:szCs w:val="22"/>
        </w:rPr>
        <w:t>), but</w:t>
      </w:r>
      <w:proofErr w:type="gramEnd"/>
      <w:r w:rsidRPr="00B9722E">
        <w:rPr>
          <w:rFonts w:ascii="Arial" w:hAnsi="Arial"/>
          <w:sz w:val="22"/>
          <w:szCs w:val="22"/>
        </w:rPr>
        <w:t xml:space="preserve"> may be related to </w:t>
      </w:r>
      <w:r>
        <w:rPr>
          <w:rFonts w:ascii="Arial" w:hAnsi="Arial"/>
          <w:sz w:val="22"/>
          <w:szCs w:val="22"/>
        </w:rPr>
        <w:t xml:space="preserve">local activation of </w:t>
      </w:r>
      <w:r w:rsidRPr="00B9722E">
        <w:rPr>
          <w:rFonts w:ascii="Arial" w:hAnsi="Arial"/>
          <w:sz w:val="22"/>
          <w:szCs w:val="22"/>
        </w:rPr>
        <w:t xml:space="preserve">unconventional immune responses that are not controlled by immunosuppression.  </w:t>
      </w:r>
    </w:p>
    <w:p w14:paraId="37DD43BD" w14:textId="77777777" w:rsidR="009D0C9E" w:rsidRPr="00B9722E" w:rsidRDefault="009D0C9E" w:rsidP="009D0C9E">
      <w:pPr>
        <w:pStyle w:val="ListParagraph"/>
        <w:numPr>
          <w:ilvl w:val="1"/>
          <w:numId w:val="26"/>
        </w:numPr>
        <w:spacing w:after="120"/>
        <w:ind w:left="720"/>
        <w:jc w:val="both"/>
        <w:rPr>
          <w:szCs w:val="22"/>
        </w:rPr>
      </w:pPr>
      <w:r>
        <w:rPr>
          <w:b/>
          <w:color w:val="000000"/>
          <w:szCs w:val="22"/>
        </w:rPr>
        <w:t>Lunsford KE</w:t>
      </w:r>
      <w:r w:rsidRPr="00B9722E">
        <w:rPr>
          <w:color w:val="000000"/>
          <w:szCs w:val="22"/>
        </w:rPr>
        <w:t>, Gao</w:t>
      </w:r>
      <w:r>
        <w:rPr>
          <w:color w:val="000000"/>
          <w:szCs w:val="22"/>
        </w:rPr>
        <w:t xml:space="preserve"> D</w:t>
      </w:r>
      <w:r w:rsidRPr="00B9722E">
        <w:rPr>
          <w:color w:val="000000"/>
          <w:szCs w:val="22"/>
        </w:rPr>
        <w:t xml:space="preserve">, </w:t>
      </w:r>
      <w:proofErr w:type="spellStart"/>
      <w:r w:rsidRPr="00B9722E">
        <w:rPr>
          <w:color w:val="000000"/>
          <w:szCs w:val="22"/>
        </w:rPr>
        <w:t>Eiring</w:t>
      </w:r>
      <w:proofErr w:type="spellEnd"/>
      <w:r>
        <w:rPr>
          <w:color w:val="000000"/>
          <w:szCs w:val="22"/>
        </w:rPr>
        <w:t xml:space="preserve"> AE</w:t>
      </w:r>
      <w:r w:rsidRPr="00B9722E">
        <w:rPr>
          <w:color w:val="000000"/>
          <w:szCs w:val="22"/>
        </w:rPr>
        <w:t>, Wang</w:t>
      </w:r>
      <w:r>
        <w:rPr>
          <w:color w:val="000000"/>
          <w:szCs w:val="22"/>
        </w:rPr>
        <w:t xml:space="preserve"> Y</w:t>
      </w:r>
      <w:r w:rsidRPr="00B9722E">
        <w:rPr>
          <w:color w:val="000000"/>
          <w:szCs w:val="22"/>
        </w:rPr>
        <w:t>, Frankel</w:t>
      </w:r>
      <w:r>
        <w:rPr>
          <w:color w:val="000000"/>
          <w:szCs w:val="22"/>
        </w:rPr>
        <w:t xml:space="preserve"> WL</w:t>
      </w:r>
      <w:r w:rsidRPr="00B9722E">
        <w:rPr>
          <w:color w:val="000000"/>
          <w:szCs w:val="22"/>
        </w:rPr>
        <w:t>, Bumgardner</w:t>
      </w:r>
      <w:r>
        <w:rPr>
          <w:color w:val="000000"/>
          <w:szCs w:val="22"/>
        </w:rPr>
        <w:t xml:space="preserve"> GL</w:t>
      </w:r>
      <w:r w:rsidRPr="00B9722E">
        <w:rPr>
          <w:color w:val="000000"/>
          <w:szCs w:val="22"/>
        </w:rPr>
        <w:t xml:space="preserve">.  Evidence for tissue directed immune responses: Analysis of CD4-dependent and CD8-dependent alloimmunity.  </w:t>
      </w:r>
      <w:r w:rsidRPr="00B9722E">
        <w:rPr>
          <w:i/>
          <w:szCs w:val="22"/>
        </w:rPr>
        <w:t>Transplantation</w:t>
      </w:r>
      <w:r>
        <w:rPr>
          <w:szCs w:val="22"/>
        </w:rPr>
        <w:t xml:space="preserve">.  </w:t>
      </w:r>
      <w:r w:rsidRPr="00B9722E">
        <w:rPr>
          <w:szCs w:val="22"/>
        </w:rPr>
        <w:t>2004, 78(8): 1125-1133.</w:t>
      </w:r>
    </w:p>
    <w:p w14:paraId="3E7C745D" w14:textId="77777777" w:rsidR="009D0C9E" w:rsidRPr="00B9722E" w:rsidRDefault="009D0C9E" w:rsidP="009D0C9E">
      <w:pPr>
        <w:pStyle w:val="ListParagraph"/>
        <w:numPr>
          <w:ilvl w:val="1"/>
          <w:numId w:val="26"/>
        </w:numPr>
        <w:spacing w:after="120"/>
        <w:ind w:left="720"/>
        <w:jc w:val="both"/>
        <w:rPr>
          <w:color w:val="000000"/>
          <w:szCs w:val="22"/>
        </w:rPr>
      </w:pPr>
      <w:r>
        <w:rPr>
          <w:b/>
          <w:color w:val="000000"/>
          <w:szCs w:val="22"/>
        </w:rPr>
        <w:t>Lunsford KE</w:t>
      </w:r>
      <w:r w:rsidRPr="00B9722E">
        <w:rPr>
          <w:color w:val="000000"/>
          <w:szCs w:val="22"/>
        </w:rPr>
        <w:t>, Koester</w:t>
      </w:r>
      <w:r>
        <w:rPr>
          <w:color w:val="000000"/>
          <w:szCs w:val="22"/>
        </w:rPr>
        <w:t xml:space="preserve"> MA</w:t>
      </w:r>
      <w:r w:rsidRPr="00B9722E">
        <w:rPr>
          <w:color w:val="000000"/>
          <w:szCs w:val="22"/>
        </w:rPr>
        <w:t xml:space="preserve">, </w:t>
      </w:r>
      <w:proofErr w:type="spellStart"/>
      <w:r w:rsidRPr="00B9722E">
        <w:rPr>
          <w:color w:val="000000"/>
          <w:szCs w:val="22"/>
        </w:rPr>
        <w:t>Eiring</w:t>
      </w:r>
      <w:proofErr w:type="spellEnd"/>
      <w:r>
        <w:rPr>
          <w:color w:val="000000"/>
          <w:szCs w:val="22"/>
        </w:rPr>
        <w:t xml:space="preserve"> AE</w:t>
      </w:r>
      <w:r w:rsidRPr="00B9722E">
        <w:rPr>
          <w:color w:val="000000"/>
          <w:szCs w:val="22"/>
        </w:rPr>
        <w:t>, Gao</w:t>
      </w:r>
      <w:r>
        <w:rPr>
          <w:color w:val="000000"/>
          <w:szCs w:val="22"/>
        </w:rPr>
        <w:t xml:space="preserve"> D</w:t>
      </w:r>
      <w:r w:rsidRPr="00B9722E">
        <w:rPr>
          <w:color w:val="000000"/>
          <w:szCs w:val="22"/>
        </w:rPr>
        <w:t>, Horne</w:t>
      </w:r>
      <w:r>
        <w:rPr>
          <w:color w:val="000000"/>
          <w:szCs w:val="22"/>
        </w:rPr>
        <w:t xml:space="preserve"> PH</w:t>
      </w:r>
      <w:r w:rsidRPr="00B9722E">
        <w:rPr>
          <w:color w:val="000000"/>
          <w:szCs w:val="22"/>
        </w:rPr>
        <w:t>, Bumgardner</w:t>
      </w:r>
      <w:r>
        <w:rPr>
          <w:color w:val="000000"/>
          <w:szCs w:val="22"/>
        </w:rPr>
        <w:t xml:space="preserve"> GL</w:t>
      </w:r>
      <w:r w:rsidRPr="00B9722E">
        <w:rPr>
          <w:color w:val="000000"/>
          <w:szCs w:val="22"/>
        </w:rPr>
        <w:t xml:space="preserve">.  Targeting LFA-1 and CD154 suppresses the </w:t>
      </w:r>
      <w:r w:rsidRPr="00B9722E">
        <w:rPr>
          <w:i/>
          <w:color w:val="000000"/>
          <w:szCs w:val="22"/>
        </w:rPr>
        <w:t>in vivo</w:t>
      </w:r>
      <w:r w:rsidRPr="00B9722E">
        <w:rPr>
          <w:color w:val="000000"/>
          <w:szCs w:val="22"/>
        </w:rPr>
        <w:t xml:space="preserve"> activation and development of cytolytic (CD4-independent) CD8</w:t>
      </w:r>
      <w:r w:rsidRPr="00B9722E">
        <w:rPr>
          <w:color w:val="000000"/>
          <w:szCs w:val="22"/>
          <w:vertAlign w:val="superscript"/>
        </w:rPr>
        <w:t>+</w:t>
      </w:r>
      <w:r w:rsidRPr="00B9722E">
        <w:rPr>
          <w:color w:val="000000"/>
          <w:szCs w:val="22"/>
        </w:rPr>
        <w:t xml:space="preserve"> T cells.  </w:t>
      </w:r>
      <w:r w:rsidRPr="00B9722E">
        <w:rPr>
          <w:i/>
          <w:color w:val="000000"/>
          <w:szCs w:val="22"/>
        </w:rPr>
        <w:t>Journal of Immunology</w:t>
      </w:r>
      <w:r w:rsidRPr="00B9722E">
        <w:rPr>
          <w:color w:val="000000"/>
          <w:szCs w:val="22"/>
        </w:rPr>
        <w:t>. 2005, 175(12): 7855-7866.</w:t>
      </w:r>
    </w:p>
    <w:p w14:paraId="4788F14C" w14:textId="77777777" w:rsidR="009D0C9E" w:rsidRPr="002E671A" w:rsidRDefault="009D0C9E" w:rsidP="009D0C9E">
      <w:pPr>
        <w:pStyle w:val="ListParagraph"/>
        <w:numPr>
          <w:ilvl w:val="1"/>
          <w:numId w:val="26"/>
        </w:numPr>
        <w:spacing w:after="120"/>
        <w:ind w:left="720"/>
        <w:jc w:val="both"/>
        <w:rPr>
          <w:color w:val="000000"/>
          <w:szCs w:val="22"/>
        </w:rPr>
      </w:pPr>
      <w:r>
        <w:rPr>
          <w:b/>
          <w:color w:val="000000"/>
          <w:szCs w:val="22"/>
        </w:rPr>
        <w:t xml:space="preserve">Lunsford KE, </w:t>
      </w:r>
      <w:proofErr w:type="spellStart"/>
      <w:r w:rsidRPr="00B9722E">
        <w:rPr>
          <w:color w:val="000000"/>
          <w:szCs w:val="22"/>
        </w:rPr>
        <w:t>Jayashankar</w:t>
      </w:r>
      <w:proofErr w:type="spellEnd"/>
      <w:r>
        <w:rPr>
          <w:color w:val="000000"/>
          <w:szCs w:val="22"/>
        </w:rPr>
        <w:t xml:space="preserve"> K</w:t>
      </w:r>
      <w:r w:rsidRPr="00B9722E">
        <w:rPr>
          <w:color w:val="000000"/>
          <w:szCs w:val="22"/>
        </w:rPr>
        <w:t xml:space="preserve">, </w:t>
      </w:r>
      <w:proofErr w:type="spellStart"/>
      <w:r w:rsidRPr="00B9722E">
        <w:rPr>
          <w:color w:val="000000"/>
          <w:szCs w:val="22"/>
        </w:rPr>
        <w:t>Eiring</w:t>
      </w:r>
      <w:proofErr w:type="spellEnd"/>
      <w:r>
        <w:rPr>
          <w:color w:val="000000"/>
          <w:szCs w:val="22"/>
        </w:rPr>
        <w:t xml:space="preserve"> AM</w:t>
      </w:r>
      <w:r w:rsidRPr="00B9722E">
        <w:rPr>
          <w:color w:val="000000"/>
          <w:szCs w:val="22"/>
        </w:rPr>
        <w:t>, Horne</w:t>
      </w:r>
      <w:r>
        <w:rPr>
          <w:color w:val="000000"/>
          <w:szCs w:val="22"/>
        </w:rPr>
        <w:t xml:space="preserve"> PH</w:t>
      </w:r>
      <w:r w:rsidRPr="00B9722E">
        <w:rPr>
          <w:color w:val="000000"/>
          <w:szCs w:val="22"/>
        </w:rPr>
        <w:t>, Koester</w:t>
      </w:r>
      <w:r>
        <w:rPr>
          <w:color w:val="000000"/>
          <w:szCs w:val="22"/>
        </w:rPr>
        <w:t xml:space="preserve"> M</w:t>
      </w:r>
      <w:r w:rsidRPr="00B9722E">
        <w:rPr>
          <w:color w:val="000000"/>
          <w:szCs w:val="22"/>
        </w:rPr>
        <w:t>, Gao</w:t>
      </w:r>
      <w:r>
        <w:rPr>
          <w:color w:val="000000"/>
          <w:szCs w:val="22"/>
        </w:rPr>
        <w:t xml:space="preserve"> D</w:t>
      </w:r>
      <w:r w:rsidRPr="00B9722E">
        <w:rPr>
          <w:color w:val="000000"/>
          <w:szCs w:val="22"/>
        </w:rPr>
        <w:t>, Bumgardner</w:t>
      </w:r>
      <w:r>
        <w:rPr>
          <w:color w:val="000000"/>
          <w:szCs w:val="22"/>
        </w:rPr>
        <w:t xml:space="preserve"> GL</w:t>
      </w:r>
      <w:r w:rsidRPr="00B9722E">
        <w:rPr>
          <w:color w:val="000000"/>
          <w:szCs w:val="22"/>
        </w:rPr>
        <w:t xml:space="preserve">.  </w:t>
      </w:r>
      <w:r w:rsidRPr="00B9722E">
        <w:rPr>
          <w:szCs w:val="22"/>
        </w:rPr>
        <w:t>Alloreactive (CD4-independent) CD8</w:t>
      </w:r>
      <w:r w:rsidRPr="00B9722E">
        <w:rPr>
          <w:szCs w:val="22"/>
          <w:vertAlign w:val="superscript"/>
        </w:rPr>
        <w:t xml:space="preserve">+ </w:t>
      </w:r>
      <w:r w:rsidRPr="00B9722E">
        <w:rPr>
          <w:szCs w:val="22"/>
        </w:rPr>
        <w:t xml:space="preserve">T cells jeopardizes long-term survival of intrahepatic islet allografts.  </w:t>
      </w:r>
      <w:r w:rsidRPr="00B9722E">
        <w:rPr>
          <w:i/>
          <w:szCs w:val="22"/>
        </w:rPr>
        <w:t>American Journal of Transplantation</w:t>
      </w:r>
      <w:r>
        <w:rPr>
          <w:i/>
          <w:szCs w:val="22"/>
        </w:rPr>
        <w:t xml:space="preserve">. </w:t>
      </w:r>
      <w:r w:rsidRPr="00B9722E">
        <w:rPr>
          <w:szCs w:val="22"/>
        </w:rPr>
        <w:t xml:space="preserve"> 2008, 8(6): 1113-28.</w:t>
      </w:r>
    </w:p>
    <w:p w14:paraId="6B9DBE75" w14:textId="77777777" w:rsidR="009D0C9E" w:rsidRPr="00806058" w:rsidRDefault="009D0C9E" w:rsidP="009D0C9E">
      <w:pPr>
        <w:pStyle w:val="ListParagraph"/>
        <w:spacing w:after="120"/>
        <w:jc w:val="both"/>
        <w:rPr>
          <w:color w:val="000000"/>
          <w:sz w:val="10"/>
          <w:szCs w:val="10"/>
        </w:rPr>
      </w:pPr>
    </w:p>
    <w:p w14:paraId="31FA39D0" w14:textId="383DEFC3" w:rsidR="009D0C9E" w:rsidRPr="006723FB" w:rsidRDefault="009D0C9E" w:rsidP="006723FB">
      <w:pPr>
        <w:pStyle w:val="ListParagraph"/>
        <w:widowControl w:val="0"/>
        <w:numPr>
          <w:ilvl w:val="0"/>
          <w:numId w:val="26"/>
        </w:numPr>
        <w:adjustRightInd w:val="0"/>
        <w:jc w:val="both"/>
        <w:rPr>
          <w:rFonts w:ascii="AdvP7627" w:hAnsi="AdvP7627" w:cs="AdvP7627"/>
          <w:szCs w:val="22"/>
        </w:rPr>
      </w:pPr>
      <w:r>
        <w:rPr>
          <w:color w:val="000000"/>
          <w:szCs w:val="22"/>
        </w:rPr>
        <w:t>I</w:t>
      </w:r>
      <w:r w:rsidRPr="002E671A">
        <w:rPr>
          <w:color w:val="000000"/>
          <w:szCs w:val="22"/>
        </w:rPr>
        <w:t xml:space="preserve">schemia-reperfusion injury pathways </w:t>
      </w:r>
      <w:r>
        <w:rPr>
          <w:color w:val="000000"/>
          <w:szCs w:val="22"/>
        </w:rPr>
        <w:t>result in deleterious</w:t>
      </w:r>
      <w:r w:rsidRPr="002E671A">
        <w:rPr>
          <w:color w:val="000000"/>
          <w:szCs w:val="22"/>
        </w:rPr>
        <w:t xml:space="preserve"> </w:t>
      </w:r>
      <w:r>
        <w:rPr>
          <w:color w:val="000000"/>
          <w:szCs w:val="22"/>
        </w:rPr>
        <w:t>activation of</w:t>
      </w:r>
      <w:r w:rsidRPr="002E671A">
        <w:rPr>
          <w:color w:val="000000"/>
          <w:szCs w:val="22"/>
        </w:rPr>
        <w:t xml:space="preserve"> innate </w:t>
      </w:r>
      <w:r>
        <w:rPr>
          <w:color w:val="000000"/>
          <w:szCs w:val="22"/>
        </w:rPr>
        <w:t xml:space="preserve">immune </w:t>
      </w:r>
      <w:r w:rsidRPr="002E671A">
        <w:rPr>
          <w:color w:val="000000"/>
          <w:szCs w:val="22"/>
        </w:rPr>
        <w:t xml:space="preserve">pathways </w:t>
      </w:r>
      <w:r>
        <w:rPr>
          <w:color w:val="000000"/>
          <w:szCs w:val="22"/>
        </w:rPr>
        <w:t>that impact</w:t>
      </w:r>
      <w:r w:rsidRPr="002E671A">
        <w:rPr>
          <w:color w:val="000000"/>
          <w:szCs w:val="22"/>
        </w:rPr>
        <w:t xml:space="preserve"> development of adaptive immune response</w:t>
      </w:r>
      <w:r>
        <w:rPr>
          <w:color w:val="000000"/>
          <w:szCs w:val="22"/>
        </w:rPr>
        <w:t>s</w:t>
      </w:r>
      <w:r w:rsidRPr="002E671A">
        <w:rPr>
          <w:color w:val="000000"/>
          <w:szCs w:val="22"/>
        </w:rPr>
        <w:t xml:space="preserve"> to trans</w:t>
      </w:r>
      <w:r>
        <w:rPr>
          <w:color w:val="000000"/>
          <w:szCs w:val="22"/>
        </w:rPr>
        <w:t xml:space="preserve">planted tissue.  Knowledge of </w:t>
      </w:r>
      <w:r w:rsidRPr="002E671A">
        <w:rPr>
          <w:color w:val="000000"/>
          <w:szCs w:val="22"/>
        </w:rPr>
        <w:t xml:space="preserve">the immunologic events </w:t>
      </w:r>
      <w:r w:rsidRPr="002E671A">
        <w:rPr>
          <w:color w:val="000000"/>
          <w:szCs w:val="22"/>
        </w:rPr>
        <w:lastRenderedPageBreak/>
        <w:t>surrounding pancreatic isc</w:t>
      </w:r>
      <w:r>
        <w:rPr>
          <w:color w:val="000000"/>
          <w:szCs w:val="22"/>
        </w:rPr>
        <w:t>hemia-reperfusion injury (IRI) was lacking</w:t>
      </w:r>
      <w:r w:rsidRPr="002E671A">
        <w:rPr>
          <w:color w:val="000000"/>
          <w:szCs w:val="22"/>
        </w:rPr>
        <w:t>.  This research developed the first described murine model for ischemia reperfusion injury, and the model served as a basis for the</w:t>
      </w:r>
      <w:r w:rsidRPr="002E671A">
        <w:rPr>
          <w:rFonts w:ascii="AdvP7627" w:hAnsi="AdvP7627" w:cs="AdvP7627"/>
          <w:szCs w:val="22"/>
        </w:rPr>
        <w:t xml:space="preserve"> immunologic characterization of pancreatic organ damage at transplantation.</w:t>
      </w:r>
    </w:p>
    <w:p w14:paraId="6788A725" w14:textId="77777777" w:rsidR="009D0C9E" w:rsidRPr="00B9722E" w:rsidRDefault="009D0C9E" w:rsidP="009D0C9E">
      <w:pPr>
        <w:pStyle w:val="ListParagraph"/>
        <w:numPr>
          <w:ilvl w:val="1"/>
          <w:numId w:val="26"/>
        </w:numPr>
        <w:spacing w:after="120"/>
        <w:ind w:left="720"/>
        <w:jc w:val="both"/>
        <w:rPr>
          <w:szCs w:val="22"/>
        </w:rPr>
      </w:pPr>
      <w:r w:rsidRPr="00B9722E">
        <w:rPr>
          <w:szCs w:val="22"/>
        </w:rPr>
        <w:t>Brennan</w:t>
      </w:r>
      <w:r>
        <w:rPr>
          <w:szCs w:val="22"/>
        </w:rPr>
        <w:t xml:space="preserve"> TV, </w:t>
      </w:r>
      <w:r w:rsidRPr="00B9722E">
        <w:rPr>
          <w:b/>
          <w:szCs w:val="22"/>
        </w:rPr>
        <w:t>Lunsford</w:t>
      </w:r>
      <w:r>
        <w:rPr>
          <w:b/>
          <w:szCs w:val="22"/>
        </w:rPr>
        <w:t xml:space="preserve"> KE</w:t>
      </w:r>
      <w:r w:rsidRPr="00B9722E">
        <w:rPr>
          <w:b/>
          <w:szCs w:val="22"/>
        </w:rPr>
        <w:t xml:space="preserve">, </w:t>
      </w:r>
      <w:proofErr w:type="spellStart"/>
      <w:r w:rsidRPr="00B9722E">
        <w:rPr>
          <w:szCs w:val="22"/>
        </w:rPr>
        <w:t>Kuo</w:t>
      </w:r>
      <w:proofErr w:type="spellEnd"/>
      <w:r>
        <w:rPr>
          <w:szCs w:val="22"/>
        </w:rPr>
        <w:t xml:space="preserve"> PC</w:t>
      </w:r>
      <w:r w:rsidRPr="00B9722E">
        <w:rPr>
          <w:szCs w:val="22"/>
        </w:rPr>
        <w:t>.</w:t>
      </w:r>
      <w:r w:rsidRPr="00B9722E">
        <w:rPr>
          <w:b/>
          <w:szCs w:val="22"/>
        </w:rPr>
        <w:t xml:space="preserve">  </w:t>
      </w:r>
      <w:r w:rsidRPr="00B9722E">
        <w:rPr>
          <w:szCs w:val="22"/>
        </w:rPr>
        <w:t>Innate Pathways of Immune Activation in Transplantation.  Journal of Transplantation.  2010, vol 2010, ID 826240: 1-8.</w:t>
      </w:r>
    </w:p>
    <w:p w14:paraId="00811455" w14:textId="77777777" w:rsidR="009D0C9E" w:rsidRPr="00B9722E" w:rsidRDefault="009D0C9E" w:rsidP="009D0C9E">
      <w:pPr>
        <w:pStyle w:val="ListParagraph"/>
        <w:numPr>
          <w:ilvl w:val="1"/>
          <w:numId w:val="26"/>
        </w:numPr>
        <w:spacing w:after="120"/>
        <w:ind w:left="720"/>
        <w:jc w:val="both"/>
        <w:rPr>
          <w:szCs w:val="22"/>
        </w:rPr>
      </w:pPr>
      <w:r>
        <w:rPr>
          <w:b/>
          <w:szCs w:val="22"/>
        </w:rPr>
        <w:t>Lunsford KE</w:t>
      </w:r>
      <w:r w:rsidRPr="00B9722E">
        <w:rPr>
          <w:b/>
          <w:szCs w:val="22"/>
        </w:rPr>
        <w:t>,</w:t>
      </w:r>
      <w:r w:rsidRPr="00B9722E">
        <w:rPr>
          <w:szCs w:val="22"/>
        </w:rPr>
        <w:t xml:space="preserve"> Baird</w:t>
      </w:r>
      <w:r>
        <w:rPr>
          <w:szCs w:val="22"/>
        </w:rPr>
        <w:t xml:space="preserve"> BJ</w:t>
      </w:r>
      <w:r w:rsidRPr="00B9722E">
        <w:rPr>
          <w:szCs w:val="22"/>
        </w:rPr>
        <w:t xml:space="preserve">, </w:t>
      </w:r>
      <w:proofErr w:type="spellStart"/>
      <w:r w:rsidRPr="00B9722E">
        <w:rPr>
          <w:szCs w:val="22"/>
        </w:rPr>
        <w:t>Sempowski</w:t>
      </w:r>
      <w:proofErr w:type="spellEnd"/>
      <w:r>
        <w:rPr>
          <w:szCs w:val="22"/>
        </w:rPr>
        <w:t xml:space="preserve"> GD</w:t>
      </w:r>
      <w:r w:rsidRPr="00B9722E">
        <w:rPr>
          <w:szCs w:val="22"/>
        </w:rPr>
        <w:t>, Cardona</w:t>
      </w:r>
      <w:r>
        <w:rPr>
          <w:szCs w:val="22"/>
        </w:rPr>
        <w:t xml:space="preserve"> DM</w:t>
      </w:r>
      <w:r w:rsidRPr="00B9722E">
        <w:rPr>
          <w:szCs w:val="22"/>
        </w:rPr>
        <w:t xml:space="preserve">, </w:t>
      </w:r>
      <w:proofErr w:type="spellStart"/>
      <w:r w:rsidRPr="00B9722E">
        <w:rPr>
          <w:szCs w:val="22"/>
        </w:rPr>
        <w:t>Weinhold</w:t>
      </w:r>
      <w:proofErr w:type="spellEnd"/>
      <w:r>
        <w:rPr>
          <w:szCs w:val="22"/>
        </w:rPr>
        <w:t xml:space="preserve"> KJ</w:t>
      </w:r>
      <w:r w:rsidRPr="00B9722E">
        <w:rPr>
          <w:szCs w:val="22"/>
        </w:rPr>
        <w:t>, Sudan</w:t>
      </w:r>
      <w:r>
        <w:rPr>
          <w:szCs w:val="22"/>
        </w:rPr>
        <w:t xml:space="preserve"> DL</w:t>
      </w:r>
      <w:r w:rsidRPr="00B9722E">
        <w:rPr>
          <w:szCs w:val="22"/>
        </w:rPr>
        <w:t>, Brennan</w:t>
      </w:r>
      <w:r>
        <w:rPr>
          <w:szCs w:val="22"/>
        </w:rPr>
        <w:t xml:space="preserve"> TV</w:t>
      </w:r>
      <w:r w:rsidRPr="00B9722E">
        <w:rPr>
          <w:szCs w:val="22"/>
        </w:rPr>
        <w:t xml:space="preserve">.  </w:t>
      </w:r>
      <w:r w:rsidRPr="00B9722E">
        <w:rPr>
          <w:rFonts w:cs="Arial"/>
          <w:szCs w:val="22"/>
        </w:rPr>
        <w:t>Up-Regulation of IL-1β, IL-6, and CCL-2 by a Novel Mouse Model of Pancreatic Ischemia-Reperfusion Injury</w:t>
      </w:r>
      <w:r w:rsidRPr="00B9722E">
        <w:rPr>
          <w:szCs w:val="22"/>
        </w:rPr>
        <w:t xml:space="preserve">.  </w:t>
      </w:r>
      <w:r w:rsidRPr="00B9722E">
        <w:rPr>
          <w:i/>
          <w:szCs w:val="22"/>
        </w:rPr>
        <w:t>Transplantation</w:t>
      </w:r>
      <w:r w:rsidRPr="00B9722E">
        <w:rPr>
          <w:szCs w:val="22"/>
        </w:rPr>
        <w:t>. 2013, 95 (8): 1000-1007.</w:t>
      </w:r>
    </w:p>
    <w:p w14:paraId="72F5A4D7" w14:textId="77777777" w:rsidR="009D0C9E" w:rsidRPr="00806058" w:rsidRDefault="009D0C9E" w:rsidP="009D0C9E">
      <w:pPr>
        <w:pStyle w:val="ListParagraph"/>
        <w:spacing w:after="120"/>
        <w:ind w:left="360"/>
        <w:jc w:val="both"/>
        <w:rPr>
          <w:sz w:val="10"/>
          <w:szCs w:val="10"/>
        </w:rPr>
      </w:pPr>
    </w:p>
    <w:p w14:paraId="2808B9E8" w14:textId="77777777" w:rsidR="006723FB" w:rsidRPr="003A10E8" w:rsidRDefault="006723FB" w:rsidP="006723FB">
      <w:pPr>
        <w:pStyle w:val="ListParagraph"/>
        <w:numPr>
          <w:ilvl w:val="0"/>
          <w:numId w:val="26"/>
        </w:numPr>
        <w:spacing w:after="120"/>
        <w:jc w:val="both"/>
        <w:rPr>
          <w:szCs w:val="22"/>
        </w:rPr>
      </w:pPr>
      <w:r>
        <w:rPr>
          <w:szCs w:val="22"/>
        </w:rPr>
        <w:t xml:space="preserve">Concurrent renal disease due to medical comorbidities or the development of hepato-renal syndrome is a major cause of morbidity and mortality among patients with cirrhosis.  Outcomes in liver transplantation may be affected ongoing renal dysfunction, and simultaneous liver-kidney transplantation is one avenue by which this may be treated at the time of transplantation. This research evaluates the indications for simultaneous liver-kidney transplantation as well as factors that might be augmented to prevent futile utilization of kidneys for SLKT.  </w:t>
      </w:r>
    </w:p>
    <w:p w14:paraId="71D0C050" w14:textId="75181F18" w:rsidR="006723FB" w:rsidRDefault="006723FB" w:rsidP="006723FB">
      <w:pPr>
        <w:pStyle w:val="ListParagraph"/>
        <w:numPr>
          <w:ilvl w:val="1"/>
          <w:numId w:val="26"/>
        </w:numPr>
        <w:spacing w:after="120"/>
        <w:ind w:left="720"/>
        <w:jc w:val="both"/>
        <w:rPr>
          <w:szCs w:val="22"/>
        </w:rPr>
      </w:pPr>
      <w:r w:rsidRPr="00B9722E">
        <w:rPr>
          <w:szCs w:val="22"/>
        </w:rPr>
        <w:t>Brennan</w:t>
      </w:r>
      <w:r>
        <w:rPr>
          <w:szCs w:val="22"/>
        </w:rPr>
        <w:t xml:space="preserve"> TV</w:t>
      </w:r>
      <w:r w:rsidRPr="00B9722E">
        <w:rPr>
          <w:szCs w:val="22"/>
        </w:rPr>
        <w:t xml:space="preserve">*, </w:t>
      </w:r>
      <w:r w:rsidRPr="00B9722E">
        <w:rPr>
          <w:b/>
          <w:szCs w:val="22"/>
        </w:rPr>
        <w:t>Lunsford</w:t>
      </w:r>
      <w:r>
        <w:rPr>
          <w:b/>
          <w:szCs w:val="22"/>
        </w:rPr>
        <w:t xml:space="preserve"> K</w:t>
      </w:r>
      <w:r w:rsidR="00D62E78">
        <w:rPr>
          <w:b/>
          <w:szCs w:val="22"/>
        </w:rPr>
        <w:t xml:space="preserve">eri </w:t>
      </w:r>
      <w:r>
        <w:rPr>
          <w:b/>
          <w:szCs w:val="22"/>
        </w:rPr>
        <w:t>E</w:t>
      </w:r>
      <w:r w:rsidRPr="00B9722E">
        <w:rPr>
          <w:b/>
          <w:szCs w:val="22"/>
        </w:rPr>
        <w:t>*</w:t>
      </w:r>
      <w:r>
        <w:rPr>
          <w:szCs w:val="22"/>
        </w:rPr>
        <w:t xml:space="preserve">(*Co-first authors), </w:t>
      </w:r>
      <w:proofErr w:type="spellStart"/>
      <w:r w:rsidRPr="00B9722E">
        <w:rPr>
          <w:szCs w:val="22"/>
        </w:rPr>
        <w:t>Vagefi</w:t>
      </w:r>
      <w:proofErr w:type="spellEnd"/>
      <w:r>
        <w:rPr>
          <w:szCs w:val="22"/>
        </w:rPr>
        <w:t xml:space="preserve"> PA</w:t>
      </w:r>
      <w:r w:rsidRPr="00B9722E">
        <w:rPr>
          <w:szCs w:val="22"/>
        </w:rPr>
        <w:t>, Bostrom</w:t>
      </w:r>
      <w:r>
        <w:rPr>
          <w:szCs w:val="22"/>
        </w:rPr>
        <w:t xml:space="preserve"> A</w:t>
      </w:r>
      <w:r w:rsidRPr="00B9722E">
        <w:rPr>
          <w:szCs w:val="22"/>
        </w:rPr>
        <w:t>, Ma</w:t>
      </w:r>
      <w:r>
        <w:rPr>
          <w:szCs w:val="22"/>
        </w:rPr>
        <w:t xml:space="preserve"> M</w:t>
      </w:r>
      <w:r w:rsidRPr="00B9722E">
        <w:rPr>
          <w:szCs w:val="22"/>
        </w:rPr>
        <w:t>, Feng</w:t>
      </w:r>
      <w:r>
        <w:rPr>
          <w:szCs w:val="22"/>
        </w:rPr>
        <w:t xml:space="preserve"> S</w:t>
      </w:r>
      <w:r w:rsidRPr="00B9722E">
        <w:rPr>
          <w:szCs w:val="22"/>
        </w:rPr>
        <w:t>. Renal outcomes for simultaneous liver-kidney transplant compared to liver transplant alone for candidates with renal dysfunction.</w:t>
      </w:r>
      <w:r w:rsidRPr="00B9722E">
        <w:rPr>
          <w:i/>
          <w:szCs w:val="22"/>
        </w:rPr>
        <w:t xml:space="preserve">  Clinical Transplantation.  </w:t>
      </w:r>
      <w:r w:rsidRPr="00B9722E">
        <w:rPr>
          <w:szCs w:val="22"/>
        </w:rPr>
        <w:t xml:space="preserve">2015, 29(1): 34-43. </w:t>
      </w:r>
    </w:p>
    <w:p w14:paraId="706E9E64" w14:textId="77777777" w:rsidR="006723FB" w:rsidRDefault="006723FB" w:rsidP="006723FB">
      <w:pPr>
        <w:pStyle w:val="ListParagraph"/>
        <w:numPr>
          <w:ilvl w:val="1"/>
          <w:numId w:val="26"/>
        </w:numPr>
        <w:spacing w:after="120"/>
        <w:ind w:left="720"/>
        <w:jc w:val="both"/>
        <w:rPr>
          <w:szCs w:val="22"/>
        </w:rPr>
      </w:pPr>
      <w:r w:rsidRPr="00A67BF5">
        <w:rPr>
          <w:b/>
          <w:szCs w:val="22"/>
        </w:rPr>
        <w:t>Lunsford, Keri E.</w:t>
      </w:r>
      <w:r w:rsidRPr="00A67BF5">
        <w:rPr>
          <w:szCs w:val="22"/>
        </w:rPr>
        <w:t xml:space="preserve">, Adam S. </w:t>
      </w:r>
      <w:proofErr w:type="spellStart"/>
      <w:r w:rsidRPr="00A67BF5">
        <w:rPr>
          <w:szCs w:val="22"/>
        </w:rPr>
        <w:t>Bodzin</w:t>
      </w:r>
      <w:proofErr w:type="spellEnd"/>
      <w:r w:rsidRPr="00A67BF5">
        <w:rPr>
          <w:szCs w:val="22"/>
        </w:rPr>
        <w:t xml:space="preserve">, Daniela Markovic, Ali </w:t>
      </w:r>
      <w:proofErr w:type="spellStart"/>
      <w:r w:rsidRPr="00A67BF5">
        <w:rPr>
          <w:szCs w:val="22"/>
        </w:rPr>
        <w:t>Zarrinpar</w:t>
      </w:r>
      <w:proofErr w:type="spellEnd"/>
      <w:r w:rsidRPr="00A67BF5">
        <w:rPr>
          <w:szCs w:val="22"/>
        </w:rPr>
        <w:t xml:space="preserve">, Fady M. </w:t>
      </w:r>
      <w:proofErr w:type="spellStart"/>
      <w:r w:rsidRPr="00A67BF5">
        <w:rPr>
          <w:szCs w:val="22"/>
        </w:rPr>
        <w:t>Kaldas</w:t>
      </w:r>
      <w:proofErr w:type="spellEnd"/>
      <w:r w:rsidRPr="00A67BF5">
        <w:rPr>
          <w:szCs w:val="22"/>
        </w:rPr>
        <w:t xml:space="preserve">, Hans Albin </w:t>
      </w:r>
      <w:proofErr w:type="spellStart"/>
      <w:r w:rsidRPr="00A67BF5">
        <w:rPr>
          <w:szCs w:val="22"/>
        </w:rPr>
        <w:t>Gritsch</w:t>
      </w:r>
      <w:proofErr w:type="spellEnd"/>
      <w:r w:rsidRPr="00A67BF5">
        <w:rPr>
          <w:szCs w:val="22"/>
        </w:rPr>
        <w:t xml:space="preserve">, Victor Xia, Douglas G. Farmer, Gabriel M. </w:t>
      </w:r>
      <w:proofErr w:type="spellStart"/>
      <w:r w:rsidRPr="00A67BF5">
        <w:rPr>
          <w:szCs w:val="22"/>
        </w:rPr>
        <w:t>Danovitch</w:t>
      </w:r>
      <w:proofErr w:type="spellEnd"/>
      <w:r w:rsidRPr="00A67BF5">
        <w:rPr>
          <w:szCs w:val="22"/>
        </w:rPr>
        <w:t xml:space="preserve">, Jonathan R. Hiatt, Ronald W. Busuttil, </w:t>
      </w:r>
      <w:proofErr w:type="spellStart"/>
      <w:r w:rsidRPr="00A67BF5">
        <w:rPr>
          <w:szCs w:val="22"/>
        </w:rPr>
        <w:t>Vatche</w:t>
      </w:r>
      <w:proofErr w:type="spellEnd"/>
      <w:r w:rsidRPr="00A67BF5">
        <w:rPr>
          <w:szCs w:val="22"/>
        </w:rPr>
        <w:t xml:space="preserve"> G. </w:t>
      </w:r>
      <w:proofErr w:type="spellStart"/>
      <w:r w:rsidRPr="00A67BF5">
        <w:rPr>
          <w:szCs w:val="22"/>
        </w:rPr>
        <w:t>Agopian</w:t>
      </w:r>
      <w:proofErr w:type="spellEnd"/>
      <w:r w:rsidRPr="00A67BF5">
        <w:rPr>
          <w:szCs w:val="22"/>
        </w:rPr>
        <w:t xml:space="preserve">.  Avoiding futility in simultaneous liver-kidney transplantation: a single center analysis of 331 consecutive patients listed for dual organ transplant in the MELD era.  </w:t>
      </w:r>
      <w:r w:rsidRPr="00A67BF5">
        <w:rPr>
          <w:i/>
          <w:szCs w:val="22"/>
        </w:rPr>
        <w:t>Annals of Surgery</w:t>
      </w:r>
      <w:r w:rsidRPr="00A67BF5">
        <w:rPr>
          <w:szCs w:val="22"/>
        </w:rPr>
        <w:t xml:space="preserve">.  </w:t>
      </w:r>
      <w:r w:rsidRPr="008C253C">
        <w:rPr>
          <w:szCs w:val="22"/>
        </w:rPr>
        <w:t>2017 May; 265(5): 1016-1024</w:t>
      </w:r>
      <w:r w:rsidRPr="00A67BF5">
        <w:rPr>
          <w:szCs w:val="22"/>
        </w:rPr>
        <w:t>.</w:t>
      </w:r>
    </w:p>
    <w:p w14:paraId="6EEED041" w14:textId="12FA84BB" w:rsidR="006723FB" w:rsidRDefault="006723FB" w:rsidP="00806058">
      <w:pPr>
        <w:pStyle w:val="ListParagraph"/>
        <w:numPr>
          <w:ilvl w:val="1"/>
          <w:numId w:val="26"/>
        </w:numPr>
        <w:spacing w:after="120"/>
        <w:ind w:left="720"/>
        <w:jc w:val="both"/>
        <w:rPr>
          <w:szCs w:val="22"/>
        </w:rPr>
      </w:pPr>
      <w:proofErr w:type="spellStart"/>
      <w:r w:rsidRPr="000E20E5">
        <w:rPr>
          <w:szCs w:val="22"/>
        </w:rPr>
        <w:t>Korayem</w:t>
      </w:r>
      <w:proofErr w:type="spellEnd"/>
      <w:r w:rsidRPr="000E20E5">
        <w:rPr>
          <w:szCs w:val="22"/>
        </w:rPr>
        <w:t xml:space="preserve">, Islam M., </w:t>
      </w:r>
      <w:proofErr w:type="spellStart"/>
      <w:r w:rsidRPr="000E20E5">
        <w:rPr>
          <w:szCs w:val="22"/>
        </w:rPr>
        <w:t>Vatche</w:t>
      </w:r>
      <w:proofErr w:type="spellEnd"/>
      <w:r w:rsidRPr="000E20E5">
        <w:rPr>
          <w:szCs w:val="22"/>
        </w:rPr>
        <w:t xml:space="preserve"> G. </w:t>
      </w:r>
      <w:proofErr w:type="spellStart"/>
      <w:r w:rsidRPr="000E20E5">
        <w:rPr>
          <w:szCs w:val="22"/>
        </w:rPr>
        <w:t>Agopian</w:t>
      </w:r>
      <w:proofErr w:type="spellEnd"/>
      <w:r w:rsidRPr="000E20E5">
        <w:rPr>
          <w:szCs w:val="22"/>
        </w:rPr>
        <w:t xml:space="preserve">, </w:t>
      </w:r>
      <w:r w:rsidRPr="000E20E5">
        <w:rPr>
          <w:b/>
          <w:szCs w:val="22"/>
        </w:rPr>
        <w:t>Keri E. Lunsford</w:t>
      </w:r>
      <w:r w:rsidRPr="000E20E5">
        <w:rPr>
          <w:szCs w:val="22"/>
        </w:rPr>
        <w:t xml:space="preserve">, Hans A. </w:t>
      </w:r>
      <w:proofErr w:type="spellStart"/>
      <w:r w:rsidRPr="000E20E5">
        <w:rPr>
          <w:szCs w:val="22"/>
        </w:rPr>
        <w:t>Gritsch</w:t>
      </w:r>
      <w:proofErr w:type="spellEnd"/>
      <w:r w:rsidRPr="000E20E5">
        <w:rPr>
          <w:szCs w:val="22"/>
        </w:rPr>
        <w:t xml:space="preserve"> HA, Jeffrey L. Veale, Gerald S. </w:t>
      </w:r>
      <w:proofErr w:type="spellStart"/>
      <w:r w:rsidRPr="000E20E5">
        <w:rPr>
          <w:szCs w:val="22"/>
        </w:rPr>
        <w:t>Lipshutz</w:t>
      </w:r>
      <w:proofErr w:type="spellEnd"/>
      <w:r w:rsidRPr="000E20E5">
        <w:rPr>
          <w:szCs w:val="22"/>
        </w:rPr>
        <w:t xml:space="preserve">, Hasan </w:t>
      </w:r>
      <w:proofErr w:type="spellStart"/>
      <w:r w:rsidRPr="000E20E5">
        <w:rPr>
          <w:szCs w:val="22"/>
        </w:rPr>
        <w:t>Yersiz</w:t>
      </w:r>
      <w:proofErr w:type="spellEnd"/>
      <w:r w:rsidRPr="000E20E5">
        <w:rPr>
          <w:szCs w:val="22"/>
        </w:rPr>
        <w:t xml:space="preserve">, Coney L. </w:t>
      </w:r>
      <w:proofErr w:type="spellStart"/>
      <w:r w:rsidRPr="000E20E5">
        <w:rPr>
          <w:szCs w:val="22"/>
        </w:rPr>
        <w:t>Serrone</w:t>
      </w:r>
      <w:proofErr w:type="spellEnd"/>
      <w:r w:rsidRPr="000E20E5">
        <w:rPr>
          <w:szCs w:val="22"/>
        </w:rPr>
        <w:t xml:space="preserve">, Fady M. </w:t>
      </w:r>
      <w:proofErr w:type="spellStart"/>
      <w:r w:rsidRPr="000E20E5">
        <w:rPr>
          <w:szCs w:val="22"/>
        </w:rPr>
        <w:t>Kaldas</w:t>
      </w:r>
      <w:proofErr w:type="spellEnd"/>
      <w:r w:rsidRPr="000E20E5">
        <w:rPr>
          <w:szCs w:val="22"/>
        </w:rPr>
        <w:t xml:space="preserve">, Douglas G. Farmer, </w:t>
      </w:r>
      <w:proofErr w:type="spellStart"/>
      <w:r w:rsidRPr="000E20E5">
        <w:rPr>
          <w:szCs w:val="22"/>
        </w:rPr>
        <w:t>Suphamai</w:t>
      </w:r>
      <w:proofErr w:type="spellEnd"/>
      <w:r w:rsidRPr="000E20E5">
        <w:rPr>
          <w:szCs w:val="22"/>
        </w:rPr>
        <w:t xml:space="preserve"> </w:t>
      </w:r>
      <w:proofErr w:type="spellStart"/>
      <w:r w:rsidRPr="000E20E5">
        <w:rPr>
          <w:szCs w:val="22"/>
        </w:rPr>
        <w:t>Bunnapradist</w:t>
      </w:r>
      <w:proofErr w:type="spellEnd"/>
      <w:r w:rsidRPr="000E20E5">
        <w:rPr>
          <w:szCs w:val="22"/>
        </w:rPr>
        <w:t xml:space="preserve">, Gabriel M. </w:t>
      </w:r>
      <w:proofErr w:type="spellStart"/>
      <w:r w:rsidRPr="000E20E5">
        <w:rPr>
          <w:szCs w:val="22"/>
        </w:rPr>
        <w:t>Danovitch</w:t>
      </w:r>
      <w:proofErr w:type="spellEnd"/>
      <w:r w:rsidRPr="000E20E5">
        <w:rPr>
          <w:szCs w:val="22"/>
        </w:rPr>
        <w:t xml:space="preserve">, Ronald W. Busuttil, Ali </w:t>
      </w:r>
      <w:proofErr w:type="spellStart"/>
      <w:r w:rsidRPr="000E20E5">
        <w:rPr>
          <w:szCs w:val="22"/>
        </w:rPr>
        <w:t>Zarrinpar</w:t>
      </w:r>
      <w:proofErr w:type="spellEnd"/>
      <w:r w:rsidRPr="000E20E5">
        <w:rPr>
          <w:szCs w:val="22"/>
        </w:rPr>
        <w:t xml:space="preserve">.  Factors Predicting Kidney Delayed Graft Function Among Recipients of Simultaneous Liver-Kidney Transplantation: Single Center Experience.  </w:t>
      </w:r>
      <w:r w:rsidRPr="000E20E5">
        <w:rPr>
          <w:i/>
          <w:szCs w:val="22"/>
        </w:rPr>
        <w:t>Clinical Transplantation</w:t>
      </w:r>
      <w:r w:rsidRPr="000E20E5">
        <w:rPr>
          <w:szCs w:val="22"/>
        </w:rPr>
        <w:t xml:space="preserve">.  2019 Apr </w:t>
      </w:r>
      <w:proofErr w:type="gramStart"/>
      <w:r w:rsidRPr="000E20E5">
        <w:rPr>
          <w:szCs w:val="22"/>
        </w:rPr>
        <w:t>21:e</w:t>
      </w:r>
      <w:proofErr w:type="gramEnd"/>
      <w:r w:rsidRPr="000E20E5">
        <w:rPr>
          <w:szCs w:val="22"/>
        </w:rPr>
        <w:t>13569.  [</w:t>
      </w:r>
      <w:proofErr w:type="spellStart"/>
      <w:r w:rsidRPr="000E20E5">
        <w:rPr>
          <w:szCs w:val="22"/>
        </w:rPr>
        <w:t>Epub</w:t>
      </w:r>
      <w:proofErr w:type="spellEnd"/>
      <w:r w:rsidRPr="000E20E5">
        <w:rPr>
          <w:szCs w:val="22"/>
        </w:rPr>
        <w:t xml:space="preserve"> ahead of print].</w:t>
      </w:r>
    </w:p>
    <w:p w14:paraId="2FC2BB92" w14:textId="5CA2AE5F" w:rsidR="006A692A" w:rsidRPr="006A692A" w:rsidRDefault="006A692A" w:rsidP="00806058">
      <w:pPr>
        <w:pStyle w:val="ListParagraph"/>
        <w:numPr>
          <w:ilvl w:val="1"/>
          <w:numId w:val="26"/>
        </w:numPr>
        <w:spacing w:after="120"/>
        <w:ind w:left="720"/>
        <w:jc w:val="both"/>
        <w:rPr>
          <w:szCs w:val="22"/>
        </w:rPr>
      </w:pPr>
      <w:r w:rsidRPr="00CA2CD2">
        <w:rPr>
          <w:b/>
          <w:sz w:val="20"/>
          <w:szCs w:val="20"/>
        </w:rPr>
        <w:t>Lunsford, Keri E</w:t>
      </w:r>
      <w:r w:rsidRPr="00CA2CD2">
        <w:rPr>
          <w:sz w:val="20"/>
          <w:szCs w:val="20"/>
        </w:rPr>
        <w:t xml:space="preserve">., </w:t>
      </w:r>
      <w:proofErr w:type="spellStart"/>
      <w:r w:rsidRPr="00CA2CD2">
        <w:rPr>
          <w:sz w:val="20"/>
          <w:szCs w:val="20"/>
        </w:rPr>
        <w:t>Vatche</w:t>
      </w:r>
      <w:proofErr w:type="spellEnd"/>
      <w:r w:rsidRPr="00CA2CD2">
        <w:rPr>
          <w:sz w:val="20"/>
          <w:szCs w:val="20"/>
        </w:rPr>
        <w:t xml:space="preserve"> G. </w:t>
      </w:r>
      <w:proofErr w:type="spellStart"/>
      <w:r w:rsidRPr="00CA2CD2">
        <w:rPr>
          <w:sz w:val="20"/>
          <w:szCs w:val="20"/>
        </w:rPr>
        <w:t>Agopian</w:t>
      </w:r>
      <w:proofErr w:type="spellEnd"/>
      <w:r w:rsidRPr="00CA2CD2">
        <w:rPr>
          <w:sz w:val="20"/>
          <w:szCs w:val="20"/>
        </w:rPr>
        <w:t xml:space="preserve">, Stephanie G. Yi, Duc T.M. Nguyen, Edward A. </w:t>
      </w:r>
      <w:proofErr w:type="spellStart"/>
      <w:r w:rsidRPr="00CA2CD2">
        <w:rPr>
          <w:sz w:val="20"/>
          <w:szCs w:val="20"/>
        </w:rPr>
        <w:t>Graviss</w:t>
      </w:r>
      <w:proofErr w:type="spellEnd"/>
      <w:r w:rsidRPr="00CA2CD2">
        <w:rPr>
          <w:sz w:val="20"/>
          <w:szCs w:val="20"/>
        </w:rPr>
        <w:t xml:space="preserve">, Michael P. </w:t>
      </w:r>
      <w:proofErr w:type="spellStart"/>
      <w:r w:rsidRPr="006A692A">
        <w:rPr>
          <w:szCs w:val="22"/>
        </w:rPr>
        <w:t>Harlander</w:t>
      </w:r>
      <w:proofErr w:type="spellEnd"/>
      <w:r w:rsidRPr="006A692A">
        <w:rPr>
          <w:szCs w:val="22"/>
        </w:rPr>
        <w:t xml:space="preserve">-Locke, Ashish </w:t>
      </w:r>
      <w:proofErr w:type="spellStart"/>
      <w:r w:rsidRPr="006A692A">
        <w:rPr>
          <w:szCs w:val="22"/>
        </w:rPr>
        <w:t>Saharia</w:t>
      </w:r>
      <w:proofErr w:type="spellEnd"/>
      <w:r w:rsidRPr="006A692A">
        <w:rPr>
          <w:szCs w:val="22"/>
        </w:rPr>
        <w:t xml:space="preserve">, Fady M. </w:t>
      </w:r>
      <w:proofErr w:type="spellStart"/>
      <w:r w:rsidRPr="006A692A">
        <w:rPr>
          <w:szCs w:val="22"/>
        </w:rPr>
        <w:t>Kaldas</w:t>
      </w:r>
      <w:proofErr w:type="spellEnd"/>
      <w:r w:rsidRPr="006A692A">
        <w:rPr>
          <w:szCs w:val="22"/>
        </w:rPr>
        <w:t xml:space="preserve">, Constance M. Mobley, Ali </w:t>
      </w:r>
      <w:proofErr w:type="spellStart"/>
      <w:r w:rsidRPr="006A692A">
        <w:rPr>
          <w:szCs w:val="22"/>
        </w:rPr>
        <w:t>Zarripar</w:t>
      </w:r>
      <w:proofErr w:type="spellEnd"/>
      <w:r w:rsidRPr="006A692A">
        <w:rPr>
          <w:szCs w:val="22"/>
        </w:rPr>
        <w:t xml:space="preserve">, Mark </w:t>
      </w:r>
      <w:proofErr w:type="spellStart"/>
      <w:r w:rsidRPr="006A692A">
        <w:rPr>
          <w:szCs w:val="22"/>
        </w:rPr>
        <w:t>Hobeika</w:t>
      </w:r>
      <w:proofErr w:type="spellEnd"/>
      <w:r w:rsidRPr="006A692A">
        <w:rPr>
          <w:szCs w:val="22"/>
        </w:rPr>
        <w:t xml:space="preserve">, Jeffery L. Veale, </w:t>
      </w:r>
      <w:proofErr w:type="spellStart"/>
      <w:r w:rsidRPr="006A692A">
        <w:rPr>
          <w:szCs w:val="22"/>
        </w:rPr>
        <w:t>Hemangshu</w:t>
      </w:r>
      <w:proofErr w:type="spellEnd"/>
      <w:r w:rsidRPr="006A692A">
        <w:rPr>
          <w:szCs w:val="22"/>
        </w:rPr>
        <w:t xml:space="preserve"> </w:t>
      </w:r>
      <w:proofErr w:type="spellStart"/>
      <w:r w:rsidRPr="006A692A">
        <w:rPr>
          <w:szCs w:val="22"/>
        </w:rPr>
        <w:t>Podder</w:t>
      </w:r>
      <w:proofErr w:type="spellEnd"/>
      <w:r w:rsidRPr="006A692A">
        <w:rPr>
          <w:szCs w:val="22"/>
        </w:rPr>
        <w:t xml:space="preserve">, Douglas G. Farmer, Richard J. Knight, Gabriel M. </w:t>
      </w:r>
      <w:proofErr w:type="spellStart"/>
      <w:r w:rsidRPr="006A692A">
        <w:rPr>
          <w:szCs w:val="22"/>
        </w:rPr>
        <w:t>Danovitch</w:t>
      </w:r>
      <w:proofErr w:type="spellEnd"/>
      <w:r w:rsidRPr="006A692A">
        <w:rPr>
          <w:szCs w:val="22"/>
        </w:rPr>
        <w:t xml:space="preserve">, H. Albin </w:t>
      </w:r>
      <w:proofErr w:type="spellStart"/>
      <w:r w:rsidRPr="006A692A">
        <w:rPr>
          <w:szCs w:val="22"/>
        </w:rPr>
        <w:t>Gritsch</w:t>
      </w:r>
      <w:proofErr w:type="spellEnd"/>
      <w:r w:rsidRPr="006A692A">
        <w:rPr>
          <w:szCs w:val="22"/>
        </w:rPr>
        <w:t xml:space="preserve">, Xian C. Li, R. Mark </w:t>
      </w:r>
      <w:proofErr w:type="spellStart"/>
      <w:r w:rsidRPr="006A692A">
        <w:rPr>
          <w:szCs w:val="22"/>
        </w:rPr>
        <w:t>Ghobrial</w:t>
      </w:r>
      <w:proofErr w:type="spellEnd"/>
      <w:r w:rsidRPr="006A692A">
        <w:rPr>
          <w:szCs w:val="22"/>
        </w:rPr>
        <w:t xml:space="preserve">, Ronald W. Busuttil, A. Osama Gaber.  </w:t>
      </w:r>
      <w:r w:rsidRPr="006A692A">
        <w:rPr>
          <w:rFonts w:cs="Arial"/>
          <w:szCs w:val="22"/>
        </w:rPr>
        <w:t xml:space="preserve">Delayed Implantation of Pumped Kidneys Decreases Renal Allograft Futility in Combined Liver-Kidney Transplantation. </w:t>
      </w:r>
      <w:r w:rsidRPr="006A692A">
        <w:rPr>
          <w:rFonts w:cs="Arial"/>
          <w:i/>
          <w:szCs w:val="22"/>
        </w:rPr>
        <w:t xml:space="preserve">Transplantation. </w:t>
      </w:r>
      <w:r w:rsidRPr="006A692A">
        <w:rPr>
          <w:rFonts w:cs="Arial"/>
          <w:iCs/>
          <w:szCs w:val="22"/>
        </w:rPr>
        <w:t xml:space="preserve">2019. </w:t>
      </w:r>
      <w:r w:rsidRPr="006A692A">
        <w:rPr>
          <w:rFonts w:cs="Arial"/>
          <w:szCs w:val="22"/>
        </w:rPr>
        <w:t>In press.</w:t>
      </w:r>
    </w:p>
    <w:p w14:paraId="0E318082" w14:textId="77777777" w:rsidR="00806058" w:rsidRPr="00806058" w:rsidRDefault="00806058" w:rsidP="00806058">
      <w:pPr>
        <w:pStyle w:val="ListParagraph"/>
        <w:spacing w:after="120"/>
        <w:jc w:val="both"/>
        <w:rPr>
          <w:sz w:val="10"/>
          <w:szCs w:val="10"/>
        </w:rPr>
      </w:pPr>
    </w:p>
    <w:p w14:paraId="5AB84426" w14:textId="77777777" w:rsidR="006723FB" w:rsidRPr="000E20E5" w:rsidRDefault="006723FB" w:rsidP="00806058">
      <w:pPr>
        <w:pStyle w:val="ListParagraph"/>
        <w:numPr>
          <w:ilvl w:val="0"/>
          <w:numId w:val="26"/>
        </w:numPr>
        <w:spacing w:before="120" w:after="120"/>
        <w:jc w:val="both"/>
        <w:rPr>
          <w:szCs w:val="22"/>
        </w:rPr>
      </w:pPr>
      <w:r>
        <w:rPr>
          <w:szCs w:val="22"/>
        </w:rPr>
        <w:t xml:space="preserve">Patients with cirrhosis are increasingly at risk for development of liver neoplasms, and liver transplantation is being increasingly performed for oncologic purposes.  Current indications for liver transplantation include hepatocellular carcinoma and hilar cholangiocarcinoma, but there is increasing interest in expanding the indications of liver transplantation to include intrahepatic </w:t>
      </w:r>
      <w:proofErr w:type="spellStart"/>
      <w:r>
        <w:rPr>
          <w:szCs w:val="22"/>
        </w:rPr>
        <w:t>cholangiocarinoma</w:t>
      </w:r>
      <w:proofErr w:type="spellEnd"/>
      <w:r>
        <w:rPr>
          <w:szCs w:val="22"/>
        </w:rPr>
        <w:t xml:space="preserve">, mixed </w:t>
      </w:r>
      <w:proofErr w:type="spellStart"/>
      <w:r>
        <w:rPr>
          <w:szCs w:val="22"/>
        </w:rPr>
        <w:t>hepatocholangiocarcinoma</w:t>
      </w:r>
      <w:proofErr w:type="spellEnd"/>
      <w:r>
        <w:rPr>
          <w:szCs w:val="22"/>
        </w:rPr>
        <w:t>, colorectal liver metastases, and neuroendocrine tumors.  These studies evaluate the outcomes in liver transplant patients undergoing transplant for oncologic indications.</w:t>
      </w:r>
    </w:p>
    <w:p w14:paraId="6A1B4D6E" w14:textId="77777777" w:rsidR="006723FB" w:rsidRPr="000E20E5" w:rsidRDefault="006723FB" w:rsidP="006723FB">
      <w:pPr>
        <w:pStyle w:val="ListParagraph"/>
        <w:numPr>
          <w:ilvl w:val="1"/>
          <w:numId w:val="26"/>
        </w:numPr>
        <w:spacing w:after="120"/>
        <w:ind w:left="720"/>
        <w:jc w:val="both"/>
        <w:rPr>
          <w:szCs w:val="22"/>
        </w:rPr>
      </w:pPr>
      <w:proofErr w:type="spellStart"/>
      <w:r w:rsidRPr="00A67BF5">
        <w:rPr>
          <w:rFonts w:cs="Arial"/>
          <w:szCs w:val="22"/>
        </w:rPr>
        <w:t>Bodzin</w:t>
      </w:r>
      <w:proofErr w:type="spellEnd"/>
      <w:r w:rsidRPr="00A67BF5">
        <w:rPr>
          <w:rFonts w:cs="Arial"/>
          <w:szCs w:val="22"/>
        </w:rPr>
        <w:t xml:space="preserve">, Adam S., </w:t>
      </w:r>
      <w:r w:rsidRPr="00A67BF5">
        <w:rPr>
          <w:rFonts w:cs="Arial"/>
          <w:b/>
          <w:szCs w:val="22"/>
        </w:rPr>
        <w:t>Keri E. Lunsford</w:t>
      </w:r>
      <w:r w:rsidRPr="00A67BF5">
        <w:rPr>
          <w:rFonts w:cs="Arial"/>
          <w:szCs w:val="22"/>
        </w:rPr>
        <w:t xml:space="preserve">, Daniela Markovic, Michael P. </w:t>
      </w:r>
      <w:proofErr w:type="spellStart"/>
      <w:r w:rsidRPr="00A67BF5">
        <w:rPr>
          <w:rFonts w:cs="Arial"/>
          <w:szCs w:val="22"/>
        </w:rPr>
        <w:t>Harlander</w:t>
      </w:r>
      <w:proofErr w:type="spellEnd"/>
      <w:r w:rsidRPr="00A67BF5">
        <w:rPr>
          <w:rFonts w:cs="Arial"/>
          <w:szCs w:val="22"/>
        </w:rPr>
        <w:t xml:space="preserve">-Locke, Ronald W. Busuttil, and </w:t>
      </w:r>
      <w:proofErr w:type="spellStart"/>
      <w:r w:rsidRPr="00A67BF5">
        <w:rPr>
          <w:rFonts w:cs="Arial"/>
          <w:szCs w:val="22"/>
        </w:rPr>
        <w:t>Vatche</w:t>
      </w:r>
      <w:proofErr w:type="spellEnd"/>
      <w:r w:rsidRPr="00A67BF5">
        <w:rPr>
          <w:rFonts w:cs="Arial"/>
          <w:szCs w:val="22"/>
        </w:rPr>
        <w:t xml:space="preserve"> G. </w:t>
      </w:r>
      <w:proofErr w:type="spellStart"/>
      <w:r w:rsidRPr="00A67BF5">
        <w:rPr>
          <w:rFonts w:cs="Arial"/>
          <w:szCs w:val="22"/>
        </w:rPr>
        <w:t>Agopian</w:t>
      </w:r>
      <w:proofErr w:type="spellEnd"/>
      <w:r w:rsidRPr="00A67BF5">
        <w:rPr>
          <w:rFonts w:cs="Arial"/>
          <w:szCs w:val="22"/>
        </w:rPr>
        <w:t xml:space="preserve">.  Predicting Mortality in Patients Developing Recurrent Hepatocellular </w:t>
      </w:r>
      <w:proofErr w:type="spellStart"/>
      <w:r w:rsidRPr="00A67BF5">
        <w:rPr>
          <w:rFonts w:cs="Arial"/>
          <w:szCs w:val="22"/>
        </w:rPr>
        <w:t>Carcinima</w:t>
      </w:r>
      <w:proofErr w:type="spellEnd"/>
      <w:r w:rsidRPr="00A67BF5">
        <w:rPr>
          <w:rFonts w:cs="Arial"/>
          <w:szCs w:val="22"/>
        </w:rPr>
        <w:t xml:space="preserve"> after Liver Transplantation: Impact of Treatment Modality and Recurrence Characteristics.  </w:t>
      </w:r>
      <w:r w:rsidRPr="00A67BF5">
        <w:rPr>
          <w:rFonts w:cs="Arial"/>
          <w:i/>
          <w:szCs w:val="22"/>
        </w:rPr>
        <w:t>Annals of Surgery</w:t>
      </w:r>
      <w:r w:rsidRPr="008C253C">
        <w:rPr>
          <w:rFonts w:cs="Arial"/>
          <w:i/>
          <w:szCs w:val="22"/>
        </w:rPr>
        <w:t>.</w:t>
      </w:r>
      <w:r w:rsidRPr="008C253C">
        <w:rPr>
          <w:rFonts w:cs="Arial"/>
          <w:szCs w:val="22"/>
        </w:rPr>
        <w:t xml:space="preserve">  </w:t>
      </w:r>
      <w:r w:rsidRPr="008C253C">
        <w:rPr>
          <w:rFonts w:cs="Arial"/>
          <w:i/>
          <w:szCs w:val="22"/>
        </w:rPr>
        <w:t>Annals of Surgery.</w:t>
      </w:r>
      <w:r w:rsidRPr="008C253C">
        <w:rPr>
          <w:rFonts w:cs="Arial"/>
          <w:szCs w:val="22"/>
        </w:rPr>
        <w:t xml:space="preserve">  2017 July; 266 (1): 118-125.</w:t>
      </w:r>
    </w:p>
    <w:p w14:paraId="347656D1" w14:textId="77777777" w:rsidR="006723FB" w:rsidRPr="000E20E5" w:rsidRDefault="006723FB" w:rsidP="006723FB">
      <w:pPr>
        <w:pStyle w:val="ListParagraph"/>
        <w:numPr>
          <w:ilvl w:val="1"/>
          <w:numId w:val="26"/>
        </w:numPr>
        <w:spacing w:after="120"/>
        <w:ind w:left="720"/>
        <w:jc w:val="both"/>
        <w:rPr>
          <w:szCs w:val="22"/>
        </w:rPr>
      </w:pPr>
      <w:r w:rsidRPr="000E20E5">
        <w:rPr>
          <w:rFonts w:cs="Arial"/>
          <w:b/>
          <w:szCs w:val="22"/>
        </w:rPr>
        <w:t>Lunsford, Keri E.</w:t>
      </w:r>
      <w:r w:rsidRPr="000E20E5">
        <w:rPr>
          <w:rFonts w:cs="Arial"/>
          <w:szCs w:val="22"/>
        </w:rPr>
        <w:t>, Colin Court,</w:t>
      </w:r>
      <w:r w:rsidRPr="000E20E5">
        <w:rPr>
          <w:rFonts w:cs="Arial"/>
          <w:szCs w:val="22"/>
          <w:vertAlign w:val="superscript"/>
        </w:rPr>
        <w:t xml:space="preserve"> </w:t>
      </w:r>
      <w:r w:rsidRPr="000E20E5">
        <w:rPr>
          <w:rFonts w:cs="Arial"/>
          <w:szCs w:val="22"/>
        </w:rPr>
        <w:t xml:space="preserve">Yong Seok Lee, David Lu, </w:t>
      </w:r>
      <w:proofErr w:type="spellStart"/>
      <w:r w:rsidRPr="000E20E5">
        <w:rPr>
          <w:rFonts w:cs="Arial"/>
          <w:szCs w:val="22"/>
        </w:rPr>
        <w:t>Bita</w:t>
      </w:r>
      <w:proofErr w:type="spellEnd"/>
      <w:r w:rsidRPr="000E20E5">
        <w:rPr>
          <w:rFonts w:cs="Arial"/>
          <w:szCs w:val="22"/>
        </w:rPr>
        <w:t xml:space="preserve"> </w:t>
      </w:r>
      <w:proofErr w:type="spellStart"/>
      <w:r w:rsidRPr="000E20E5">
        <w:rPr>
          <w:rFonts w:cs="Arial"/>
          <w:szCs w:val="22"/>
        </w:rPr>
        <w:t>Naini</w:t>
      </w:r>
      <w:proofErr w:type="spellEnd"/>
      <w:r w:rsidRPr="000E20E5">
        <w:rPr>
          <w:rFonts w:cs="Arial"/>
          <w:szCs w:val="22"/>
        </w:rPr>
        <w:t xml:space="preserve">, Michael P. </w:t>
      </w:r>
      <w:proofErr w:type="spellStart"/>
      <w:r w:rsidRPr="000E20E5">
        <w:rPr>
          <w:rFonts w:cs="Arial"/>
          <w:szCs w:val="22"/>
        </w:rPr>
        <w:t>Harlander</w:t>
      </w:r>
      <w:proofErr w:type="spellEnd"/>
      <w:r w:rsidRPr="000E20E5">
        <w:rPr>
          <w:rFonts w:cs="Arial"/>
          <w:szCs w:val="22"/>
        </w:rPr>
        <w:t xml:space="preserve">-Locke, Ronald W. Busuttil, </w:t>
      </w:r>
      <w:proofErr w:type="spellStart"/>
      <w:r w:rsidRPr="000E20E5">
        <w:rPr>
          <w:rFonts w:cs="Arial"/>
          <w:szCs w:val="22"/>
        </w:rPr>
        <w:t>Vatche</w:t>
      </w:r>
      <w:proofErr w:type="spellEnd"/>
      <w:r w:rsidRPr="000E20E5">
        <w:rPr>
          <w:rFonts w:cs="Arial"/>
          <w:szCs w:val="22"/>
        </w:rPr>
        <w:t xml:space="preserve"> G. </w:t>
      </w:r>
      <w:proofErr w:type="spellStart"/>
      <w:r w:rsidRPr="000E20E5">
        <w:rPr>
          <w:rFonts w:cs="Arial"/>
          <w:szCs w:val="22"/>
        </w:rPr>
        <w:t>Agopian</w:t>
      </w:r>
      <w:proofErr w:type="spellEnd"/>
      <w:r w:rsidRPr="000E20E5">
        <w:rPr>
          <w:rFonts w:cs="Arial"/>
          <w:szCs w:val="22"/>
        </w:rPr>
        <w:t xml:space="preserve">. Comparative Analysis of Patients with Mixed Hepatocellular-Cholangiocarcinoma and Hepatocellular Carcinoma Undergoing Liver Transplantation: A Propensity Matched Cohort Analysis. </w:t>
      </w:r>
      <w:r w:rsidRPr="000E20E5">
        <w:rPr>
          <w:rFonts w:cs="Arial"/>
          <w:i/>
          <w:szCs w:val="22"/>
        </w:rPr>
        <w:t xml:space="preserve">Liver Transplantation. </w:t>
      </w:r>
      <w:proofErr w:type="spellStart"/>
      <w:r w:rsidRPr="000E20E5">
        <w:rPr>
          <w:rFonts w:cs="Arial"/>
          <w:szCs w:val="22"/>
        </w:rPr>
        <w:t>Epub</w:t>
      </w:r>
      <w:proofErr w:type="spellEnd"/>
      <w:r w:rsidRPr="000E20E5">
        <w:rPr>
          <w:rFonts w:cs="Arial"/>
          <w:szCs w:val="22"/>
        </w:rPr>
        <w:t xml:space="preserve"> 2018 March 23. 2018 October; 24(10):1384-1397.</w:t>
      </w:r>
    </w:p>
    <w:p w14:paraId="3AED724F" w14:textId="77777777" w:rsidR="006723FB" w:rsidRDefault="006723FB" w:rsidP="006723FB">
      <w:pPr>
        <w:pStyle w:val="ListParagraph"/>
        <w:numPr>
          <w:ilvl w:val="1"/>
          <w:numId w:val="26"/>
        </w:numPr>
        <w:spacing w:after="120"/>
        <w:ind w:left="720"/>
        <w:jc w:val="both"/>
        <w:rPr>
          <w:szCs w:val="22"/>
        </w:rPr>
      </w:pPr>
      <w:r w:rsidRPr="000E20E5">
        <w:rPr>
          <w:b/>
          <w:szCs w:val="22"/>
        </w:rPr>
        <w:t xml:space="preserve">Lunsford, Keri E, </w:t>
      </w:r>
      <w:r w:rsidRPr="000E20E5">
        <w:rPr>
          <w:szCs w:val="22"/>
        </w:rPr>
        <w:t xml:space="preserve">Milind </w:t>
      </w:r>
      <w:proofErr w:type="spellStart"/>
      <w:r w:rsidRPr="000E20E5">
        <w:rPr>
          <w:szCs w:val="22"/>
        </w:rPr>
        <w:t>Javle</w:t>
      </w:r>
      <w:proofErr w:type="spellEnd"/>
      <w:r w:rsidRPr="000E20E5">
        <w:rPr>
          <w:szCs w:val="22"/>
        </w:rPr>
        <w:t xml:space="preserve">, Kirk </w:t>
      </w:r>
      <w:proofErr w:type="spellStart"/>
      <w:r w:rsidRPr="000E20E5">
        <w:rPr>
          <w:szCs w:val="22"/>
        </w:rPr>
        <w:t>Heyne</w:t>
      </w:r>
      <w:proofErr w:type="spellEnd"/>
      <w:r w:rsidRPr="000E20E5">
        <w:rPr>
          <w:szCs w:val="22"/>
        </w:rPr>
        <w:t xml:space="preserve">, Rachna T. Shroff, </w:t>
      </w:r>
      <w:proofErr w:type="spellStart"/>
      <w:r w:rsidRPr="000E20E5">
        <w:rPr>
          <w:szCs w:val="22"/>
        </w:rPr>
        <w:t>Reham</w:t>
      </w:r>
      <w:proofErr w:type="spellEnd"/>
      <w:r w:rsidRPr="000E20E5">
        <w:rPr>
          <w:szCs w:val="22"/>
        </w:rPr>
        <w:t xml:space="preserve"> Adel-Wahab, Nakul Gupta, Constance Mobley, Ashish </w:t>
      </w:r>
      <w:proofErr w:type="spellStart"/>
      <w:r w:rsidRPr="000E20E5">
        <w:rPr>
          <w:szCs w:val="22"/>
        </w:rPr>
        <w:t>Saharia</w:t>
      </w:r>
      <w:proofErr w:type="spellEnd"/>
      <w:r w:rsidRPr="000E20E5">
        <w:rPr>
          <w:szCs w:val="22"/>
        </w:rPr>
        <w:t xml:space="preserve">, David W. Victor, Duc T. Nguyen, </w:t>
      </w:r>
      <w:proofErr w:type="spellStart"/>
      <w:r w:rsidRPr="000E20E5">
        <w:rPr>
          <w:szCs w:val="22"/>
        </w:rPr>
        <w:t>Eward</w:t>
      </w:r>
      <w:proofErr w:type="spellEnd"/>
      <w:r w:rsidRPr="000E20E5">
        <w:rPr>
          <w:szCs w:val="22"/>
        </w:rPr>
        <w:t xml:space="preserve"> A. </w:t>
      </w:r>
      <w:proofErr w:type="spellStart"/>
      <w:r w:rsidRPr="000E20E5">
        <w:rPr>
          <w:szCs w:val="22"/>
        </w:rPr>
        <w:t>Graviss</w:t>
      </w:r>
      <w:proofErr w:type="spellEnd"/>
      <w:r w:rsidRPr="000E20E5">
        <w:rPr>
          <w:szCs w:val="22"/>
        </w:rPr>
        <w:t xml:space="preserve">, Ahmed O. </w:t>
      </w:r>
      <w:proofErr w:type="spellStart"/>
      <w:r w:rsidRPr="000E20E5">
        <w:rPr>
          <w:szCs w:val="22"/>
        </w:rPr>
        <w:t>Kaseb</w:t>
      </w:r>
      <w:proofErr w:type="spellEnd"/>
      <w:r w:rsidRPr="000E20E5">
        <w:rPr>
          <w:szCs w:val="22"/>
        </w:rPr>
        <w:t xml:space="preserve">, Thomas A. </w:t>
      </w:r>
      <w:proofErr w:type="spellStart"/>
      <w:r w:rsidRPr="000E20E5">
        <w:rPr>
          <w:szCs w:val="22"/>
        </w:rPr>
        <w:t>Aloia</w:t>
      </w:r>
      <w:proofErr w:type="spellEnd"/>
      <w:r w:rsidRPr="000E20E5">
        <w:rPr>
          <w:szCs w:val="22"/>
        </w:rPr>
        <w:t xml:space="preserve">, Claudius Conrad, Howard </w:t>
      </w:r>
      <w:proofErr w:type="spellStart"/>
      <w:r w:rsidRPr="000E20E5">
        <w:rPr>
          <w:szCs w:val="22"/>
        </w:rPr>
        <w:t>Monsour</w:t>
      </w:r>
      <w:proofErr w:type="spellEnd"/>
      <w:r w:rsidRPr="000E20E5">
        <w:rPr>
          <w:szCs w:val="22"/>
        </w:rPr>
        <w:t xml:space="preserve">, Jean-Nicolas </w:t>
      </w:r>
      <w:proofErr w:type="spellStart"/>
      <w:r w:rsidRPr="000E20E5">
        <w:rPr>
          <w:szCs w:val="22"/>
        </w:rPr>
        <w:t>Vauthey</w:t>
      </w:r>
      <w:proofErr w:type="spellEnd"/>
      <w:r w:rsidRPr="000E20E5">
        <w:rPr>
          <w:szCs w:val="22"/>
        </w:rPr>
        <w:t xml:space="preserve">, A. Osama Gaber, R. Mark </w:t>
      </w:r>
      <w:proofErr w:type="spellStart"/>
      <w:r w:rsidRPr="000E20E5">
        <w:rPr>
          <w:szCs w:val="22"/>
        </w:rPr>
        <w:t>Ghobrial</w:t>
      </w:r>
      <w:proofErr w:type="spellEnd"/>
      <w:r w:rsidRPr="000E20E5">
        <w:rPr>
          <w:szCs w:val="22"/>
        </w:rPr>
        <w:t xml:space="preserve">. Liver Transplantation for Locally Advanced Unresectable Intrahepatic Cholangiocarcinoma Treated with Neoadjuvant Therapy: Preliminary Experience from the Methodist-MD Anderson Collaborative. </w:t>
      </w:r>
      <w:r w:rsidRPr="000E20E5">
        <w:rPr>
          <w:i/>
          <w:szCs w:val="22"/>
        </w:rPr>
        <w:t xml:space="preserve">Lancet Gastroenterology and Hepatology.  </w:t>
      </w:r>
      <w:r w:rsidRPr="000E20E5">
        <w:rPr>
          <w:szCs w:val="22"/>
        </w:rPr>
        <w:t>2018 May; 3(5): 337-348.</w:t>
      </w:r>
    </w:p>
    <w:p w14:paraId="42470722" w14:textId="77777777" w:rsidR="006723FB" w:rsidRPr="000E20E5" w:rsidRDefault="006723FB" w:rsidP="006723FB">
      <w:pPr>
        <w:pStyle w:val="ListParagraph"/>
        <w:numPr>
          <w:ilvl w:val="1"/>
          <w:numId w:val="26"/>
        </w:numPr>
        <w:spacing w:after="120"/>
        <w:ind w:left="720"/>
        <w:jc w:val="both"/>
        <w:rPr>
          <w:szCs w:val="22"/>
        </w:rPr>
      </w:pPr>
      <w:r w:rsidRPr="000E20E5">
        <w:rPr>
          <w:szCs w:val="22"/>
        </w:rPr>
        <w:t xml:space="preserve">Victor, David W. III, Howard P. </w:t>
      </w:r>
      <w:proofErr w:type="spellStart"/>
      <w:r w:rsidRPr="000E20E5">
        <w:rPr>
          <w:szCs w:val="22"/>
        </w:rPr>
        <w:t>Monsour</w:t>
      </w:r>
      <w:proofErr w:type="spellEnd"/>
      <w:r w:rsidRPr="000E20E5">
        <w:rPr>
          <w:szCs w:val="22"/>
        </w:rPr>
        <w:t xml:space="preserve"> Jr., </w:t>
      </w:r>
      <w:proofErr w:type="spellStart"/>
      <w:r w:rsidRPr="000E20E5">
        <w:rPr>
          <w:szCs w:val="22"/>
        </w:rPr>
        <w:t>Maha</w:t>
      </w:r>
      <w:proofErr w:type="spellEnd"/>
      <w:r w:rsidRPr="000E20E5">
        <w:rPr>
          <w:szCs w:val="22"/>
        </w:rPr>
        <w:t xml:space="preserve"> </w:t>
      </w:r>
      <w:proofErr w:type="spellStart"/>
      <w:r w:rsidRPr="000E20E5">
        <w:rPr>
          <w:szCs w:val="22"/>
        </w:rPr>
        <w:t>Boktour</w:t>
      </w:r>
      <w:proofErr w:type="spellEnd"/>
      <w:r w:rsidRPr="000E20E5">
        <w:rPr>
          <w:szCs w:val="22"/>
        </w:rPr>
        <w:t xml:space="preserve">, </w:t>
      </w:r>
      <w:r w:rsidRPr="000E20E5">
        <w:rPr>
          <w:b/>
          <w:szCs w:val="22"/>
        </w:rPr>
        <w:t>Keri E. Lunsford</w:t>
      </w:r>
      <w:r w:rsidRPr="000E20E5">
        <w:rPr>
          <w:szCs w:val="22"/>
        </w:rPr>
        <w:t xml:space="preserve">, Julius Balogh, Edward </w:t>
      </w:r>
      <w:proofErr w:type="spellStart"/>
      <w:r w:rsidRPr="000E20E5">
        <w:rPr>
          <w:szCs w:val="22"/>
        </w:rPr>
        <w:t>Graviss</w:t>
      </w:r>
      <w:proofErr w:type="spellEnd"/>
      <w:r w:rsidRPr="000E20E5">
        <w:rPr>
          <w:szCs w:val="22"/>
        </w:rPr>
        <w:t xml:space="preserve">, Duc Nguyen, Robert </w:t>
      </w:r>
      <w:proofErr w:type="spellStart"/>
      <w:r w:rsidRPr="000E20E5">
        <w:rPr>
          <w:szCs w:val="22"/>
        </w:rPr>
        <w:t>Mcfadden</w:t>
      </w:r>
      <w:proofErr w:type="spellEnd"/>
      <w:r w:rsidRPr="000E20E5">
        <w:rPr>
          <w:szCs w:val="22"/>
        </w:rPr>
        <w:t xml:space="preserve">, Mukul K. </w:t>
      </w:r>
      <w:proofErr w:type="spellStart"/>
      <w:r w:rsidRPr="000E20E5">
        <w:rPr>
          <w:szCs w:val="22"/>
        </w:rPr>
        <w:t>Divatia</w:t>
      </w:r>
      <w:proofErr w:type="spellEnd"/>
      <w:r w:rsidRPr="000E20E5">
        <w:rPr>
          <w:szCs w:val="22"/>
        </w:rPr>
        <w:t xml:space="preserve">, Kirk </w:t>
      </w:r>
      <w:proofErr w:type="spellStart"/>
      <w:r w:rsidRPr="000E20E5">
        <w:rPr>
          <w:szCs w:val="22"/>
        </w:rPr>
        <w:t>Heyne</w:t>
      </w:r>
      <w:proofErr w:type="spellEnd"/>
      <w:r w:rsidRPr="000E20E5">
        <w:rPr>
          <w:szCs w:val="22"/>
        </w:rPr>
        <w:t xml:space="preserve">, Victor </w:t>
      </w:r>
      <w:proofErr w:type="spellStart"/>
      <w:r w:rsidRPr="000E20E5">
        <w:rPr>
          <w:szCs w:val="22"/>
        </w:rPr>
        <w:t>Ankoma-Sey</w:t>
      </w:r>
      <w:proofErr w:type="spellEnd"/>
      <w:r w:rsidRPr="000E20E5">
        <w:rPr>
          <w:szCs w:val="22"/>
        </w:rPr>
        <w:t xml:space="preserve">, Chukwuma </w:t>
      </w:r>
      <w:proofErr w:type="spellStart"/>
      <w:r w:rsidRPr="000E20E5">
        <w:rPr>
          <w:szCs w:val="22"/>
        </w:rPr>
        <w:t>Egwim</w:t>
      </w:r>
      <w:proofErr w:type="spellEnd"/>
      <w:r w:rsidRPr="000E20E5">
        <w:rPr>
          <w:szCs w:val="22"/>
        </w:rPr>
        <w:t xml:space="preserve">, Joseph Galati, Andrea </w:t>
      </w:r>
      <w:proofErr w:type="spellStart"/>
      <w:r w:rsidRPr="000E20E5">
        <w:rPr>
          <w:szCs w:val="22"/>
        </w:rPr>
        <w:t>Duchini</w:t>
      </w:r>
      <w:proofErr w:type="spellEnd"/>
      <w:r w:rsidRPr="000E20E5">
        <w:rPr>
          <w:szCs w:val="22"/>
        </w:rPr>
        <w:t xml:space="preserve">, Ashish </w:t>
      </w:r>
      <w:proofErr w:type="spellStart"/>
      <w:r w:rsidRPr="000E20E5">
        <w:rPr>
          <w:szCs w:val="22"/>
        </w:rPr>
        <w:t>Saharia</w:t>
      </w:r>
      <w:proofErr w:type="spellEnd"/>
      <w:r w:rsidRPr="000E20E5">
        <w:rPr>
          <w:szCs w:val="22"/>
        </w:rPr>
        <w:t xml:space="preserve">, Constance M. Mobley, A. Osama Gaber, R. Mark </w:t>
      </w:r>
      <w:proofErr w:type="spellStart"/>
      <w:r w:rsidRPr="000E20E5">
        <w:rPr>
          <w:szCs w:val="22"/>
        </w:rPr>
        <w:lastRenderedPageBreak/>
        <w:t>Ghobrial</w:t>
      </w:r>
      <w:proofErr w:type="spellEnd"/>
      <w:r w:rsidRPr="000E20E5">
        <w:rPr>
          <w:szCs w:val="22"/>
        </w:rPr>
        <w:t xml:space="preserve">.  Outcomes of Liver transplantation for hepatocellular carcinoma (HCC) beyond the University of California San Francisco (UCSF) criteria: A single center experience.  </w:t>
      </w:r>
      <w:r w:rsidRPr="000E20E5">
        <w:rPr>
          <w:i/>
          <w:szCs w:val="22"/>
        </w:rPr>
        <w:t>Transplantation.</w:t>
      </w:r>
      <w:r w:rsidRPr="000E20E5">
        <w:rPr>
          <w:szCs w:val="22"/>
        </w:rPr>
        <w:t xml:space="preserve">  In Press.</w:t>
      </w:r>
    </w:p>
    <w:p w14:paraId="6ED69B05" w14:textId="375393AA" w:rsidR="00991688" w:rsidRPr="00B9722E" w:rsidRDefault="00991688" w:rsidP="004F4CA5">
      <w:pPr>
        <w:jc w:val="both"/>
        <w:rPr>
          <w:b/>
          <w:szCs w:val="22"/>
          <w:u w:val="single"/>
        </w:rPr>
      </w:pPr>
      <w:r w:rsidRPr="00B9722E">
        <w:rPr>
          <w:b/>
          <w:szCs w:val="22"/>
          <w:u w:val="single"/>
        </w:rPr>
        <w:t>Complete List of Published Work in My</w:t>
      </w:r>
      <w:r w:rsidR="00C14B0F">
        <w:rPr>
          <w:b/>
          <w:szCs w:val="22"/>
          <w:u w:val="single"/>
        </w:rPr>
        <w:t xml:space="preserve"> </w:t>
      </w:r>
      <w:bookmarkStart w:id="0" w:name="_GoBack"/>
      <w:bookmarkEnd w:id="0"/>
      <w:r w:rsidRPr="00B9722E">
        <w:rPr>
          <w:b/>
          <w:szCs w:val="22"/>
          <w:u w:val="single"/>
        </w:rPr>
        <w:t xml:space="preserve">Bibliography:   </w:t>
      </w:r>
    </w:p>
    <w:p w14:paraId="063D6068" w14:textId="0749F1A4" w:rsidR="00CD7A70" w:rsidRPr="006723FB" w:rsidRDefault="000E0D0D" w:rsidP="006723FB">
      <w:pPr>
        <w:rPr>
          <w:sz w:val="20"/>
          <w:szCs w:val="20"/>
        </w:rPr>
      </w:pPr>
      <w:hyperlink r:id="rId10" w:history="1">
        <w:r w:rsidR="00CD7A70" w:rsidRPr="00CD7A70">
          <w:rPr>
            <w:rStyle w:val="Hyperlink"/>
            <w:rFonts w:cs="Arial"/>
            <w:color w:val="551A8B"/>
            <w:sz w:val="20"/>
            <w:szCs w:val="20"/>
            <w:bdr w:val="none" w:sz="0" w:space="0" w:color="auto" w:frame="1"/>
          </w:rPr>
          <w:t>https://www.ncbi.nlm.nih.gov/sites/myncbi/1FcY9vf2X1VkJ/bibliography/47893314/public/?sort=date&amp;direction=ascending</w:t>
        </w:r>
      </w:hyperlink>
    </w:p>
    <w:p w14:paraId="3708494A" w14:textId="7BA83B29" w:rsidR="00BA3998" w:rsidRPr="00B9722E" w:rsidRDefault="00BA3998" w:rsidP="006723FB">
      <w:pPr>
        <w:pStyle w:val="Heading1"/>
        <w:pBdr>
          <w:top w:val="none" w:sz="0" w:space="0" w:color="auto"/>
        </w:pBdr>
        <w:spacing w:before="120"/>
        <w:jc w:val="left"/>
      </w:pPr>
      <w:r w:rsidRPr="00B9722E">
        <w:t>D.</w:t>
      </w:r>
      <w:r w:rsidRPr="00B9722E">
        <w:tab/>
        <w:t>Research Support</w:t>
      </w:r>
    </w:p>
    <w:p w14:paraId="6C7BF1D3" w14:textId="1036FEB3" w:rsidR="00E21A04" w:rsidRDefault="00E21A04" w:rsidP="00BA3998">
      <w:pPr>
        <w:pStyle w:val="DataField11pt-Single"/>
        <w:rPr>
          <w:b/>
          <w:szCs w:val="22"/>
          <w:u w:val="single"/>
        </w:rPr>
      </w:pPr>
      <w:r w:rsidRPr="00B9722E">
        <w:rPr>
          <w:b/>
          <w:szCs w:val="22"/>
          <w:u w:val="single"/>
        </w:rPr>
        <w:t>Current Research Support</w:t>
      </w:r>
    </w:p>
    <w:p w14:paraId="628905B8" w14:textId="2C0B41E7" w:rsidR="006723FB" w:rsidRPr="006723FB" w:rsidRDefault="006723FB" w:rsidP="006723FB">
      <w:pPr>
        <w:rPr>
          <w:rFonts w:cs="Arial"/>
          <w:b/>
          <w:iCs/>
          <w:szCs w:val="22"/>
        </w:rPr>
      </w:pPr>
      <w:r>
        <w:rPr>
          <w:szCs w:val="22"/>
        </w:rPr>
        <w:t>1.</w:t>
      </w:r>
      <w:r>
        <w:rPr>
          <w:szCs w:val="22"/>
        </w:rPr>
        <w:tab/>
      </w:r>
      <w:r w:rsidRPr="006723FB">
        <w:rPr>
          <w:szCs w:val="22"/>
        </w:rPr>
        <w:t xml:space="preserve">Title:         </w:t>
      </w:r>
      <w:r w:rsidRPr="006723FB">
        <w:rPr>
          <w:szCs w:val="22"/>
        </w:rPr>
        <w:tab/>
      </w:r>
      <w:r w:rsidRPr="006723FB">
        <w:rPr>
          <w:szCs w:val="22"/>
        </w:rPr>
        <w:tab/>
      </w:r>
      <w:r w:rsidRPr="006723FB">
        <w:rPr>
          <w:szCs w:val="22"/>
        </w:rPr>
        <w:tab/>
      </w:r>
      <w:r w:rsidRPr="006723FB">
        <w:rPr>
          <w:szCs w:val="22"/>
        </w:rPr>
        <w:tab/>
      </w:r>
      <w:r w:rsidRPr="006723FB">
        <w:rPr>
          <w:rFonts w:cs="Arial"/>
          <w:iCs/>
          <w:szCs w:val="22"/>
        </w:rPr>
        <w:t xml:space="preserve">Defining Immunologic Frailty as a Predictor of Human Liver Allograft Recipient </w:t>
      </w:r>
    </w:p>
    <w:p w14:paraId="780225E9" w14:textId="71FF19AD" w:rsidR="006723FB" w:rsidRPr="006723FB" w:rsidRDefault="006723FB" w:rsidP="006723FB">
      <w:pPr>
        <w:pStyle w:val="ListParagraph"/>
        <w:ind w:left="2160" w:firstLine="360"/>
        <w:rPr>
          <w:rStyle w:val="printanswer"/>
          <w:rFonts w:cs="Arial"/>
          <w:b/>
          <w:iCs/>
          <w:szCs w:val="22"/>
        </w:rPr>
      </w:pPr>
      <w:r w:rsidRPr="006723FB">
        <w:rPr>
          <w:rFonts w:cs="Arial"/>
          <w:iCs/>
          <w:szCs w:val="22"/>
        </w:rPr>
        <w:t>Futility</w:t>
      </w:r>
    </w:p>
    <w:p w14:paraId="05754DC4" w14:textId="53A619D0" w:rsidR="006723FB" w:rsidRPr="006723FB" w:rsidRDefault="006723FB" w:rsidP="006723FB">
      <w:pPr>
        <w:ind w:firstLine="360"/>
        <w:jc w:val="both"/>
        <w:rPr>
          <w:szCs w:val="22"/>
        </w:rPr>
      </w:pPr>
      <w:r w:rsidRPr="006723FB">
        <w:rPr>
          <w:szCs w:val="22"/>
        </w:rPr>
        <w:t xml:space="preserve">Role:        </w:t>
      </w:r>
      <w:r>
        <w:rPr>
          <w:szCs w:val="22"/>
        </w:rPr>
        <w:tab/>
      </w:r>
      <w:r>
        <w:rPr>
          <w:szCs w:val="22"/>
        </w:rPr>
        <w:tab/>
      </w:r>
      <w:r>
        <w:rPr>
          <w:szCs w:val="22"/>
        </w:rPr>
        <w:tab/>
      </w:r>
      <w:r>
        <w:rPr>
          <w:szCs w:val="22"/>
        </w:rPr>
        <w:tab/>
      </w:r>
      <w:r w:rsidRPr="006723FB">
        <w:rPr>
          <w:szCs w:val="22"/>
        </w:rPr>
        <w:t>Principle Investigator</w:t>
      </w:r>
    </w:p>
    <w:p w14:paraId="0034FDE5" w14:textId="2BCF63DF" w:rsidR="006723FB" w:rsidRPr="006723FB" w:rsidRDefault="006723FB" w:rsidP="006723FB">
      <w:pPr>
        <w:ind w:left="882" w:hanging="522"/>
        <w:rPr>
          <w:rFonts w:cs="Arial"/>
          <w:szCs w:val="22"/>
        </w:rPr>
      </w:pPr>
      <w:r w:rsidRPr="006723FB">
        <w:rPr>
          <w:rStyle w:val="printanswer"/>
          <w:rFonts w:cs="Arial"/>
          <w:szCs w:val="22"/>
        </w:rPr>
        <w:t xml:space="preserve">Sponsor:  </w:t>
      </w:r>
      <w:r>
        <w:rPr>
          <w:rStyle w:val="printanswer"/>
          <w:rFonts w:cs="Arial"/>
          <w:szCs w:val="22"/>
        </w:rPr>
        <w:tab/>
      </w:r>
      <w:r>
        <w:rPr>
          <w:rStyle w:val="printanswer"/>
          <w:rFonts w:cs="Arial"/>
          <w:szCs w:val="22"/>
        </w:rPr>
        <w:tab/>
      </w:r>
      <w:r>
        <w:rPr>
          <w:rStyle w:val="printanswer"/>
          <w:rFonts w:cs="Arial"/>
          <w:szCs w:val="22"/>
        </w:rPr>
        <w:tab/>
      </w:r>
      <w:r>
        <w:rPr>
          <w:rStyle w:val="printanswer"/>
          <w:rFonts w:cs="Arial"/>
          <w:szCs w:val="22"/>
        </w:rPr>
        <w:tab/>
      </w:r>
      <w:r w:rsidRPr="006723FB">
        <w:rPr>
          <w:rStyle w:val="printanswer"/>
          <w:rFonts w:cs="Arial"/>
          <w:szCs w:val="22"/>
        </w:rPr>
        <w:t>NIH K08 DK118187-01</w:t>
      </w:r>
    </w:p>
    <w:p w14:paraId="5036C2A8" w14:textId="77777777" w:rsidR="00C14B0F" w:rsidRDefault="006723FB" w:rsidP="00C14B0F">
      <w:pPr>
        <w:ind w:firstLine="360"/>
        <w:jc w:val="both"/>
        <w:rPr>
          <w:szCs w:val="22"/>
        </w:rPr>
      </w:pPr>
      <w:r w:rsidRPr="006723FB">
        <w:rPr>
          <w:szCs w:val="22"/>
        </w:rPr>
        <w:t xml:space="preserve">Dates:      </w:t>
      </w:r>
      <w:r>
        <w:rPr>
          <w:szCs w:val="22"/>
        </w:rPr>
        <w:tab/>
      </w:r>
      <w:r>
        <w:rPr>
          <w:szCs w:val="22"/>
        </w:rPr>
        <w:tab/>
      </w:r>
      <w:r>
        <w:rPr>
          <w:szCs w:val="22"/>
        </w:rPr>
        <w:tab/>
      </w:r>
      <w:r>
        <w:rPr>
          <w:szCs w:val="22"/>
        </w:rPr>
        <w:tab/>
      </w:r>
      <w:r w:rsidRPr="006723FB">
        <w:rPr>
          <w:szCs w:val="22"/>
        </w:rPr>
        <w:t>April 2019 – March 2024</w:t>
      </w:r>
      <w:r w:rsidR="00C14B0F">
        <w:rPr>
          <w:szCs w:val="22"/>
        </w:rPr>
        <w:t xml:space="preserve"> </w:t>
      </w:r>
      <w:r w:rsidR="00C14B0F">
        <w:rPr>
          <w:szCs w:val="22"/>
        </w:rPr>
        <w:t>(pending transfer to Rutgers NJMS)</w:t>
      </w:r>
    </w:p>
    <w:p w14:paraId="602FD768" w14:textId="77777777" w:rsidR="006723FB" w:rsidRDefault="006723FB" w:rsidP="006723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612"/>
        </w:tabs>
        <w:spacing w:before="120"/>
        <w:ind w:left="360" w:hanging="360"/>
        <w:rPr>
          <w:rFonts w:cs="Arial"/>
          <w:color w:val="000000"/>
          <w:szCs w:val="22"/>
        </w:rPr>
      </w:pPr>
      <w:r>
        <w:rPr>
          <w:szCs w:val="22"/>
        </w:rPr>
        <w:t>2.</w:t>
      </w:r>
      <w:r>
        <w:rPr>
          <w:szCs w:val="22"/>
        </w:rPr>
        <w:tab/>
      </w:r>
      <w:r w:rsidRPr="006723FB">
        <w:rPr>
          <w:szCs w:val="22"/>
        </w:rPr>
        <w:t xml:space="preserve">Title:         </w:t>
      </w:r>
      <w:r>
        <w:rPr>
          <w:szCs w:val="22"/>
        </w:rPr>
        <w:tab/>
      </w:r>
      <w:r>
        <w:rPr>
          <w:szCs w:val="22"/>
        </w:rPr>
        <w:tab/>
      </w:r>
      <w:r>
        <w:rPr>
          <w:szCs w:val="22"/>
        </w:rPr>
        <w:tab/>
      </w:r>
      <w:r>
        <w:rPr>
          <w:szCs w:val="22"/>
        </w:rPr>
        <w:tab/>
      </w:r>
      <w:r w:rsidRPr="006723FB">
        <w:rPr>
          <w:rFonts w:cs="Arial"/>
          <w:color w:val="000000"/>
          <w:szCs w:val="22"/>
        </w:rPr>
        <w:t xml:space="preserve">Evaluation of Pre-Transplant T cell Exhaustion as a Mechanism for Recipient </w:t>
      </w:r>
    </w:p>
    <w:p w14:paraId="7EA2990B" w14:textId="19F2FB41" w:rsidR="006723FB" w:rsidRPr="006723FB" w:rsidRDefault="006723FB" w:rsidP="006723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612"/>
        </w:tabs>
        <w:ind w:left="360" w:hanging="360"/>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6723FB">
        <w:rPr>
          <w:rFonts w:cs="Arial"/>
          <w:color w:val="000000"/>
          <w:szCs w:val="22"/>
        </w:rPr>
        <w:t>Immune Dysfunction and Liver Transplant Futility</w:t>
      </w:r>
    </w:p>
    <w:p w14:paraId="3ED62B17" w14:textId="67E5A032" w:rsidR="006723FB" w:rsidRPr="006723FB" w:rsidRDefault="006723FB" w:rsidP="006723FB">
      <w:pPr>
        <w:tabs>
          <w:tab w:val="left" w:pos="360"/>
          <w:tab w:val="left" w:pos="2520"/>
          <w:tab w:val="left" w:pos="3360"/>
          <w:tab w:val="left" w:pos="3920"/>
          <w:tab w:val="left" w:pos="4480"/>
          <w:tab w:val="left" w:pos="5040"/>
          <w:tab w:val="left" w:pos="5600"/>
          <w:tab w:val="left" w:pos="6160"/>
          <w:tab w:val="left" w:pos="6720"/>
        </w:tabs>
        <w:adjustRightInd w:val="0"/>
        <w:ind w:left="927" w:hanging="927"/>
        <w:rPr>
          <w:rFonts w:cs="Arial"/>
          <w:color w:val="000000"/>
          <w:szCs w:val="22"/>
        </w:rPr>
      </w:pPr>
      <w:r>
        <w:rPr>
          <w:rFonts w:cs="Arial"/>
          <w:color w:val="000000"/>
          <w:szCs w:val="22"/>
        </w:rPr>
        <w:tab/>
      </w:r>
      <w:r w:rsidRPr="006723FB">
        <w:rPr>
          <w:rFonts w:cs="Arial"/>
          <w:color w:val="000000"/>
          <w:szCs w:val="22"/>
        </w:rPr>
        <w:t xml:space="preserve">Role:        </w:t>
      </w:r>
      <w:r>
        <w:rPr>
          <w:rFonts w:cs="Arial"/>
          <w:color w:val="000000"/>
          <w:szCs w:val="22"/>
        </w:rPr>
        <w:tab/>
      </w:r>
      <w:r w:rsidRPr="006723FB">
        <w:rPr>
          <w:rFonts w:cs="Arial"/>
          <w:color w:val="000000"/>
          <w:szCs w:val="22"/>
        </w:rPr>
        <w:t>Principle Investigator</w:t>
      </w:r>
    </w:p>
    <w:p w14:paraId="393FE101" w14:textId="745A82E2" w:rsidR="006723FB" w:rsidRPr="006723FB" w:rsidRDefault="006723FB" w:rsidP="006723FB">
      <w:pPr>
        <w:tabs>
          <w:tab w:val="left" w:pos="360"/>
          <w:tab w:val="left" w:pos="2520"/>
          <w:tab w:val="left" w:pos="2800"/>
          <w:tab w:val="left" w:pos="3360"/>
          <w:tab w:val="left" w:pos="3920"/>
          <w:tab w:val="left" w:pos="4480"/>
          <w:tab w:val="left" w:pos="5040"/>
          <w:tab w:val="left" w:pos="5600"/>
          <w:tab w:val="left" w:pos="6160"/>
          <w:tab w:val="left" w:pos="6720"/>
        </w:tabs>
        <w:adjustRightInd w:val="0"/>
        <w:ind w:left="927" w:hanging="927"/>
        <w:rPr>
          <w:rFonts w:cs="Arial"/>
          <w:color w:val="000000"/>
          <w:szCs w:val="22"/>
        </w:rPr>
      </w:pPr>
      <w:r>
        <w:rPr>
          <w:rFonts w:cs="Arial"/>
          <w:color w:val="000000"/>
          <w:szCs w:val="22"/>
        </w:rPr>
        <w:tab/>
      </w:r>
      <w:r w:rsidRPr="006723FB">
        <w:rPr>
          <w:rFonts w:cs="Arial"/>
          <w:color w:val="000000"/>
          <w:szCs w:val="22"/>
        </w:rPr>
        <w:t>Sponsor</w:t>
      </w:r>
      <w:r>
        <w:rPr>
          <w:rFonts w:cs="Arial"/>
          <w:color w:val="000000"/>
          <w:szCs w:val="22"/>
        </w:rPr>
        <w:t xml:space="preserve"> (Amount)</w:t>
      </w:r>
      <w:r w:rsidRPr="006723FB">
        <w:rPr>
          <w:rFonts w:cs="Arial"/>
          <w:color w:val="000000"/>
          <w:szCs w:val="22"/>
        </w:rPr>
        <w:t xml:space="preserve">:  </w:t>
      </w:r>
      <w:r>
        <w:rPr>
          <w:rFonts w:cs="Arial"/>
          <w:color w:val="000000"/>
          <w:szCs w:val="22"/>
        </w:rPr>
        <w:tab/>
      </w:r>
      <w:r w:rsidRPr="006723FB">
        <w:rPr>
          <w:rFonts w:cs="Arial"/>
          <w:color w:val="000000"/>
          <w:szCs w:val="22"/>
        </w:rPr>
        <w:t>Association of Women Surgeons Foundation</w:t>
      </w:r>
    </w:p>
    <w:p w14:paraId="588DE000" w14:textId="14DFBFFB" w:rsidR="006723FB" w:rsidRPr="006723FB" w:rsidRDefault="006723FB" w:rsidP="00C14B0F">
      <w:pPr>
        <w:tabs>
          <w:tab w:val="left" w:pos="360"/>
          <w:tab w:val="left" w:pos="2520"/>
          <w:tab w:val="left" w:pos="2800"/>
          <w:tab w:val="left" w:pos="3360"/>
          <w:tab w:val="left" w:pos="3920"/>
          <w:tab w:val="left" w:pos="4480"/>
          <w:tab w:val="left" w:pos="5040"/>
          <w:tab w:val="left" w:pos="5600"/>
          <w:tab w:val="left" w:pos="6160"/>
          <w:tab w:val="left" w:pos="6720"/>
        </w:tabs>
        <w:adjustRightInd w:val="0"/>
        <w:spacing w:after="120"/>
        <w:ind w:left="927" w:hanging="927"/>
        <w:rPr>
          <w:rFonts w:cs="Arial"/>
          <w:color w:val="000000"/>
          <w:szCs w:val="22"/>
        </w:rPr>
      </w:pPr>
      <w:r>
        <w:rPr>
          <w:rFonts w:cs="Arial"/>
          <w:color w:val="000000"/>
          <w:szCs w:val="22"/>
        </w:rPr>
        <w:tab/>
      </w:r>
      <w:r w:rsidRPr="006723FB">
        <w:rPr>
          <w:rFonts w:cs="Arial"/>
          <w:color w:val="000000"/>
          <w:szCs w:val="22"/>
        </w:rPr>
        <w:t xml:space="preserve">Dates:      </w:t>
      </w:r>
      <w:r>
        <w:rPr>
          <w:rFonts w:cs="Arial"/>
          <w:color w:val="000000"/>
          <w:szCs w:val="22"/>
        </w:rPr>
        <w:tab/>
      </w:r>
      <w:r w:rsidRPr="006723FB">
        <w:rPr>
          <w:rFonts w:cs="Arial"/>
          <w:color w:val="000000"/>
          <w:szCs w:val="22"/>
        </w:rPr>
        <w:t>November 1</w:t>
      </w:r>
      <w:r w:rsidR="00C14B0F">
        <w:rPr>
          <w:rFonts w:cs="Arial"/>
          <w:color w:val="000000"/>
          <w:szCs w:val="22"/>
        </w:rPr>
        <w:t>5</w:t>
      </w:r>
      <w:r w:rsidRPr="006723FB">
        <w:rPr>
          <w:rFonts w:cs="Arial"/>
          <w:color w:val="000000"/>
          <w:szCs w:val="22"/>
        </w:rPr>
        <w:t xml:space="preserve">, 2018 – </w:t>
      </w:r>
      <w:r w:rsidR="00C14B0F">
        <w:rPr>
          <w:rFonts w:cs="Arial"/>
          <w:color w:val="000000"/>
          <w:szCs w:val="22"/>
        </w:rPr>
        <w:t>November 30</w:t>
      </w:r>
      <w:r w:rsidRPr="006723FB">
        <w:rPr>
          <w:rFonts w:cs="Arial"/>
          <w:color w:val="000000"/>
          <w:szCs w:val="22"/>
        </w:rPr>
        <w:t>, 2019</w:t>
      </w:r>
    </w:p>
    <w:p w14:paraId="1DB45568" w14:textId="3289A86C" w:rsidR="00C14B0F" w:rsidRDefault="00C14B0F" w:rsidP="00C14B0F">
      <w:pPr>
        <w:tabs>
          <w:tab w:val="left" w:pos="360"/>
          <w:tab w:val="left" w:pos="2520"/>
          <w:tab w:val="left" w:pos="2800"/>
          <w:tab w:val="left" w:pos="3360"/>
          <w:tab w:val="left" w:pos="3920"/>
          <w:tab w:val="left" w:pos="4480"/>
          <w:tab w:val="left" w:pos="5040"/>
          <w:tab w:val="left" w:pos="5600"/>
          <w:tab w:val="left" w:pos="6160"/>
          <w:tab w:val="left" w:pos="6720"/>
        </w:tabs>
        <w:adjustRightInd w:val="0"/>
        <w:ind w:left="927" w:hanging="927"/>
        <w:rPr>
          <w:rFonts w:cs="Arial"/>
          <w:color w:val="000000"/>
          <w:szCs w:val="22"/>
        </w:rPr>
      </w:pPr>
      <w:r>
        <w:rPr>
          <w:rFonts w:cs="Arial"/>
          <w:color w:val="000000"/>
          <w:szCs w:val="22"/>
        </w:rPr>
        <w:t>3.</w:t>
      </w:r>
      <w:r>
        <w:rPr>
          <w:rFonts w:cs="Arial"/>
          <w:color w:val="000000"/>
          <w:szCs w:val="22"/>
        </w:rPr>
        <w:tab/>
        <w:t xml:space="preserve">Title: </w:t>
      </w:r>
      <w:r>
        <w:rPr>
          <w:rFonts w:cs="Arial"/>
          <w:color w:val="000000"/>
          <w:szCs w:val="22"/>
        </w:rPr>
        <w:tab/>
      </w:r>
      <w:r>
        <w:rPr>
          <w:rFonts w:cs="Arial"/>
          <w:color w:val="000000"/>
          <w:szCs w:val="22"/>
        </w:rPr>
        <w:tab/>
        <w:t xml:space="preserve">Clinician Scientist Seed Grant </w:t>
      </w:r>
    </w:p>
    <w:p w14:paraId="7D7383A2" w14:textId="31DDA84B" w:rsidR="00C14B0F" w:rsidRDefault="00C14B0F" w:rsidP="00C14B0F">
      <w:pPr>
        <w:tabs>
          <w:tab w:val="left" w:pos="360"/>
          <w:tab w:val="left" w:pos="2520"/>
          <w:tab w:val="left" w:pos="2800"/>
          <w:tab w:val="left" w:pos="3360"/>
          <w:tab w:val="left" w:pos="3920"/>
          <w:tab w:val="left" w:pos="4480"/>
          <w:tab w:val="left" w:pos="5040"/>
          <w:tab w:val="left" w:pos="5600"/>
          <w:tab w:val="left" w:pos="6160"/>
          <w:tab w:val="left" w:pos="6720"/>
        </w:tabs>
        <w:adjustRightInd w:val="0"/>
        <w:ind w:left="927" w:hanging="927"/>
        <w:rPr>
          <w:rFonts w:cs="Arial"/>
          <w:color w:val="000000"/>
          <w:szCs w:val="22"/>
        </w:rPr>
      </w:pPr>
      <w:r>
        <w:rPr>
          <w:rFonts w:cs="Arial"/>
          <w:color w:val="000000"/>
          <w:szCs w:val="22"/>
        </w:rPr>
        <w:tab/>
        <w:t xml:space="preserve">Role: </w:t>
      </w:r>
      <w:r>
        <w:rPr>
          <w:rFonts w:cs="Arial"/>
          <w:color w:val="000000"/>
          <w:szCs w:val="22"/>
        </w:rPr>
        <w:tab/>
        <w:t>Principle Investigator</w:t>
      </w:r>
    </w:p>
    <w:p w14:paraId="1F8E2262" w14:textId="74C15B51" w:rsidR="00C14B0F" w:rsidRDefault="00C14B0F" w:rsidP="00C14B0F">
      <w:pPr>
        <w:tabs>
          <w:tab w:val="left" w:pos="360"/>
          <w:tab w:val="left" w:pos="2520"/>
          <w:tab w:val="left" w:pos="2800"/>
          <w:tab w:val="left" w:pos="3360"/>
          <w:tab w:val="left" w:pos="3920"/>
          <w:tab w:val="left" w:pos="4480"/>
          <w:tab w:val="left" w:pos="5040"/>
          <w:tab w:val="left" w:pos="5600"/>
          <w:tab w:val="left" w:pos="6160"/>
          <w:tab w:val="left" w:pos="6720"/>
        </w:tabs>
        <w:adjustRightInd w:val="0"/>
        <w:ind w:left="927" w:hanging="927"/>
        <w:rPr>
          <w:rFonts w:cs="Arial"/>
          <w:color w:val="000000"/>
          <w:szCs w:val="22"/>
        </w:rPr>
      </w:pPr>
      <w:r>
        <w:rPr>
          <w:rFonts w:cs="Arial"/>
          <w:color w:val="000000"/>
          <w:szCs w:val="22"/>
        </w:rPr>
        <w:tab/>
        <w:t xml:space="preserve">Sponsor: </w:t>
      </w:r>
      <w:r>
        <w:rPr>
          <w:rFonts w:cs="Arial"/>
          <w:color w:val="000000"/>
          <w:szCs w:val="22"/>
        </w:rPr>
        <w:tab/>
        <w:t xml:space="preserve">Rutgers / RJW </w:t>
      </w:r>
      <w:proofErr w:type="spellStart"/>
      <w:r>
        <w:rPr>
          <w:rFonts w:cs="Arial"/>
          <w:color w:val="000000"/>
          <w:szCs w:val="22"/>
        </w:rPr>
        <w:t>Barnabus</w:t>
      </w:r>
      <w:proofErr w:type="spellEnd"/>
      <w:r>
        <w:rPr>
          <w:rFonts w:cs="Arial"/>
          <w:color w:val="000000"/>
          <w:szCs w:val="22"/>
        </w:rPr>
        <w:t xml:space="preserve"> Health</w:t>
      </w:r>
    </w:p>
    <w:p w14:paraId="2D0ADA15" w14:textId="341B542F" w:rsidR="00C14B0F" w:rsidRPr="006723FB" w:rsidRDefault="00C14B0F" w:rsidP="00C14B0F">
      <w:pPr>
        <w:tabs>
          <w:tab w:val="left" w:pos="360"/>
          <w:tab w:val="left" w:pos="2520"/>
          <w:tab w:val="left" w:pos="2800"/>
          <w:tab w:val="left" w:pos="3360"/>
          <w:tab w:val="left" w:pos="3920"/>
          <w:tab w:val="left" w:pos="4480"/>
          <w:tab w:val="left" w:pos="5040"/>
          <w:tab w:val="left" w:pos="5600"/>
          <w:tab w:val="left" w:pos="6160"/>
          <w:tab w:val="left" w:pos="6720"/>
        </w:tabs>
        <w:adjustRightInd w:val="0"/>
        <w:spacing w:after="120"/>
        <w:ind w:left="927" w:hanging="927"/>
        <w:rPr>
          <w:rFonts w:cs="Arial"/>
          <w:color w:val="000000"/>
          <w:szCs w:val="22"/>
        </w:rPr>
      </w:pPr>
      <w:r>
        <w:rPr>
          <w:rFonts w:cs="Arial"/>
          <w:color w:val="000000"/>
          <w:szCs w:val="22"/>
        </w:rPr>
        <w:tab/>
        <w:t>Dates:</w:t>
      </w:r>
      <w:r>
        <w:rPr>
          <w:rFonts w:cs="Arial"/>
          <w:color w:val="000000"/>
          <w:szCs w:val="22"/>
        </w:rPr>
        <w:tab/>
        <w:t>October 1, 2019 – September 1, 2023</w:t>
      </w:r>
    </w:p>
    <w:p w14:paraId="1AF928FF" w14:textId="15248A96" w:rsidR="00523FB1" w:rsidRPr="00BA7C63" w:rsidRDefault="009A79BD" w:rsidP="00C14B0F">
      <w:pPr>
        <w:pStyle w:val="DataField11pt-Single"/>
        <w:rPr>
          <w:szCs w:val="22"/>
          <w:u w:val="single"/>
        </w:rPr>
      </w:pPr>
      <w:r w:rsidRPr="00BA7C63">
        <w:rPr>
          <w:b/>
          <w:szCs w:val="22"/>
          <w:u w:val="single"/>
        </w:rPr>
        <w:t>Completed Research Support</w:t>
      </w:r>
      <w:r w:rsidR="006A692A">
        <w:rPr>
          <w:b/>
          <w:szCs w:val="22"/>
          <w:u w:val="single"/>
        </w:rPr>
        <w:t xml:space="preserve"> (Most recent 5 years)</w:t>
      </w:r>
    </w:p>
    <w:p w14:paraId="3BD659CB" w14:textId="77777777" w:rsidR="006723FB" w:rsidRPr="006723FB" w:rsidRDefault="006723FB" w:rsidP="006723FB">
      <w:pPr>
        <w:rPr>
          <w:szCs w:val="22"/>
        </w:rPr>
      </w:pPr>
      <w:r w:rsidRPr="006723FB">
        <w:rPr>
          <w:szCs w:val="22"/>
        </w:rPr>
        <w:t>1.</w:t>
      </w:r>
      <w:r w:rsidRPr="006723FB">
        <w:rPr>
          <w:szCs w:val="22"/>
        </w:rPr>
        <w:tab/>
        <w:t>Title:</w:t>
      </w:r>
      <w:r w:rsidRPr="006723FB">
        <w:rPr>
          <w:szCs w:val="22"/>
        </w:rPr>
        <w:tab/>
      </w:r>
      <w:r w:rsidRPr="006723FB">
        <w:rPr>
          <w:szCs w:val="22"/>
        </w:rPr>
        <w:tab/>
      </w:r>
      <w:r w:rsidRPr="006723FB">
        <w:rPr>
          <w:szCs w:val="22"/>
        </w:rPr>
        <w:tab/>
      </w:r>
      <w:r w:rsidRPr="006723FB">
        <w:rPr>
          <w:szCs w:val="22"/>
        </w:rPr>
        <w:tab/>
      </w:r>
      <w:r w:rsidRPr="006723FB">
        <w:rPr>
          <w:szCs w:val="22"/>
        </w:rPr>
        <w:tab/>
        <w:t>Immune Perturbance Following Orthotopic Liver Transplantation</w:t>
      </w:r>
    </w:p>
    <w:p w14:paraId="293F9E7C" w14:textId="77777777" w:rsidR="006723FB" w:rsidRPr="006723FB" w:rsidRDefault="006723FB" w:rsidP="006723FB">
      <w:pPr>
        <w:ind w:firstLine="360"/>
        <w:rPr>
          <w:szCs w:val="22"/>
        </w:rPr>
      </w:pPr>
      <w:r w:rsidRPr="006723FB">
        <w:rPr>
          <w:szCs w:val="22"/>
        </w:rPr>
        <w:t xml:space="preserve">Role: </w:t>
      </w:r>
      <w:r w:rsidRPr="006723FB">
        <w:rPr>
          <w:szCs w:val="22"/>
        </w:rPr>
        <w:tab/>
      </w:r>
      <w:r w:rsidRPr="006723FB">
        <w:rPr>
          <w:szCs w:val="22"/>
        </w:rPr>
        <w:tab/>
      </w:r>
      <w:r w:rsidRPr="006723FB">
        <w:rPr>
          <w:szCs w:val="22"/>
        </w:rPr>
        <w:tab/>
      </w:r>
      <w:r w:rsidRPr="006723FB">
        <w:rPr>
          <w:szCs w:val="22"/>
        </w:rPr>
        <w:tab/>
      </w:r>
      <w:r w:rsidRPr="006723FB">
        <w:rPr>
          <w:szCs w:val="22"/>
        </w:rPr>
        <w:tab/>
        <w:t xml:space="preserve">Principle Investigator (Mentors: Li and </w:t>
      </w:r>
      <w:proofErr w:type="spellStart"/>
      <w:r w:rsidRPr="006723FB">
        <w:rPr>
          <w:szCs w:val="22"/>
        </w:rPr>
        <w:t>Ghobrial</w:t>
      </w:r>
      <w:proofErr w:type="spellEnd"/>
      <w:r w:rsidRPr="006723FB">
        <w:rPr>
          <w:szCs w:val="22"/>
        </w:rPr>
        <w:t>)</w:t>
      </w:r>
    </w:p>
    <w:p w14:paraId="30C3B782" w14:textId="32BF8F21" w:rsidR="006723FB" w:rsidRPr="006723FB" w:rsidRDefault="006723FB" w:rsidP="006723FB">
      <w:pPr>
        <w:ind w:firstLine="360"/>
        <w:rPr>
          <w:szCs w:val="22"/>
        </w:rPr>
      </w:pPr>
      <w:r w:rsidRPr="006723FB">
        <w:rPr>
          <w:szCs w:val="22"/>
        </w:rPr>
        <w:t>Sponsor</w:t>
      </w:r>
      <w:r>
        <w:rPr>
          <w:szCs w:val="22"/>
        </w:rPr>
        <w:t xml:space="preserve"> (Dates)</w:t>
      </w:r>
      <w:r w:rsidRPr="006723FB">
        <w:rPr>
          <w:szCs w:val="22"/>
        </w:rPr>
        <w:t>:</w:t>
      </w:r>
      <w:r w:rsidRPr="006723FB">
        <w:rPr>
          <w:szCs w:val="22"/>
        </w:rPr>
        <w:tab/>
      </w:r>
      <w:r w:rsidRPr="006723FB">
        <w:rPr>
          <w:szCs w:val="22"/>
        </w:rPr>
        <w:tab/>
        <w:t xml:space="preserve">Houston Methodist </w:t>
      </w:r>
      <w:r>
        <w:rPr>
          <w:szCs w:val="22"/>
        </w:rPr>
        <w:t>Research Institute</w:t>
      </w:r>
      <w:r w:rsidRPr="006723FB">
        <w:rPr>
          <w:szCs w:val="22"/>
        </w:rPr>
        <w:t xml:space="preserve"> </w:t>
      </w:r>
      <w:r>
        <w:rPr>
          <w:szCs w:val="22"/>
        </w:rPr>
        <w:t>(</w:t>
      </w:r>
      <w:r w:rsidRPr="006723FB">
        <w:rPr>
          <w:szCs w:val="22"/>
        </w:rPr>
        <w:t>April 2016 – March 20</w:t>
      </w:r>
      <w:r>
        <w:rPr>
          <w:szCs w:val="22"/>
        </w:rPr>
        <w:t xml:space="preserve">19), </w:t>
      </w:r>
      <w:r w:rsidRPr="006723FB">
        <w:rPr>
          <w:szCs w:val="22"/>
        </w:rPr>
        <w:t xml:space="preserve">$250,000 / year </w:t>
      </w:r>
    </w:p>
    <w:p w14:paraId="4A0A20B0" w14:textId="7DCF1D09" w:rsidR="006723FB" w:rsidRPr="006C71F7" w:rsidRDefault="006723FB" w:rsidP="006723FB">
      <w:pPr>
        <w:pStyle w:val="DataField11pt-Single"/>
        <w:tabs>
          <w:tab w:val="left" w:pos="360"/>
        </w:tabs>
        <w:spacing w:before="120"/>
        <w:ind w:left="2520" w:hanging="2520"/>
        <w:rPr>
          <w:szCs w:val="22"/>
        </w:rPr>
      </w:pPr>
      <w:r>
        <w:rPr>
          <w:szCs w:val="22"/>
        </w:rPr>
        <w:t>2.</w:t>
      </w:r>
      <w:r>
        <w:rPr>
          <w:szCs w:val="22"/>
        </w:rPr>
        <w:tab/>
        <w:t>Title:</w:t>
      </w:r>
      <w:r>
        <w:rPr>
          <w:szCs w:val="22"/>
        </w:rPr>
        <w:tab/>
      </w:r>
      <w:r w:rsidRPr="006C71F7">
        <w:rPr>
          <w:szCs w:val="22"/>
        </w:rPr>
        <w:t>OCS Liver Protect Trial</w:t>
      </w:r>
    </w:p>
    <w:p w14:paraId="0194D715" w14:textId="77777777" w:rsidR="006723FB" w:rsidRPr="006C71F7" w:rsidRDefault="006723FB" w:rsidP="006723FB">
      <w:pPr>
        <w:pStyle w:val="DataField11pt-Single"/>
        <w:tabs>
          <w:tab w:val="left" w:pos="360"/>
        </w:tabs>
        <w:ind w:left="2520" w:hanging="2520"/>
        <w:rPr>
          <w:szCs w:val="22"/>
        </w:rPr>
      </w:pPr>
      <w:r>
        <w:rPr>
          <w:szCs w:val="22"/>
        </w:rPr>
        <w:tab/>
        <w:t>Role:</w:t>
      </w:r>
      <w:r>
        <w:rPr>
          <w:szCs w:val="22"/>
        </w:rPr>
        <w:tab/>
      </w:r>
      <w:r w:rsidRPr="006C71F7">
        <w:rPr>
          <w:szCs w:val="22"/>
        </w:rPr>
        <w:t xml:space="preserve">Co-investigator (R. Mark </w:t>
      </w:r>
      <w:proofErr w:type="spellStart"/>
      <w:r w:rsidRPr="006C71F7">
        <w:rPr>
          <w:szCs w:val="22"/>
        </w:rPr>
        <w:t>Ghobrial</w:t>
      </w:r>
      <w:proofErr w:type="spellEnd"/>
      <w:r w:rsidRPr="006C71F7">
        <w:rPr>
          <w:szCs w:val="22"/>
        </w:rPr>
        <w:t>, MD, PhD – site PI)</w:t>
      </w:r>
    </w:p>
    <w:p w14:paraId="550D910E" w14:textId="55E3DF18" w:rsidR="006723FB" w:rsidRPr="006C71F7" w:rsidRDefault="006723FB" w:rsidP="00C14B0F">
      <w:pPr>
        <w:pStyle w:val="DataField11pt-Single"/>
        <w:tabs>
          <w:tab w:val="left" w:pos="360"/>
        </w:tabs>
        <w:spacing w:after="120"/>
        <w:ind w:left="2520" w:hanging="2520"/>
        <w:rPr>
          <w:szCs w:val="22"/>
        </w:rPr>
      </w:pPr>
      <w:r>
        <w:rPr>
          <w:szCs w:val="22"/>
        </w:rPr>
        <w:tab/>
      </w:r>
      <w:r w:rsidRPr="006723FB">
        <w:rPr>
          <w:szCs w:val="22"/>
        </w:rPr>
        <w:t>Sponsor</w:t>
      </w:r>
      <w:r>
        <w:rPr>
          <w:szCs w:val="22"/>
        </w:rPr>
        <w:t xml:space="preserve"> (Dates)</w:t>
      </w:r>
      <w:r w:rsidRPr="006723FB">
        <w:rPr>
          <w:szCs w:val="22"/>
        </w:rPr>
        <w:t>:</w:t>
      </w:r>
      <w:r>
        <w:rPr>
          <w:szCs w:val="22"/>
        </w:rPr>
        <w:tab/>
      </w:r>
      <w:proofErr w:type="spellStart"/>
      <w:r w:rsidRPr="006C71F7">
        <w:rPr>
          <w:szCs w:val="22"/>
        </w:rPr>
        <w:t>TransMedics</w:t>
      </w:r>
      <w:proofErr w:type="spellEnd"/>
      <w:r>
        <w:rPr>
          <w:szCs w:val="22"/>
        </w:rPr>
        <w:t xml:space="preserve"> (5</w:t>
      </w:r>
      <w:r w:rsidRPr="006C71F7">
        <w:rPr>
          <w:szCs w:val="22"/>
        </w:rPr>
        <w:t>/3/16-</w:t>
      </w:r>
      <w:r>
        <w:rPr>
          <w:szCs w:val="22"/>
        </w:rPr>
        <w:t>8/23/19)</w:t>
      </w:r>
    </w:p>
    <w:p w14:paraId="25F2AE18" w14:textId="641EE74A" w:rsidR="006723FB" w:rsidRPr="006C71F7" w:rsidRDefault="006723FB" w:rsidP="006723FB">
      <w:pPr>
        <w:pStyle w:val="DataField11pt-Single"/>
        <w:tabs>
          <w:tab w:val="left" w:pos="360"/>
        </w:tabs>
        <w:ind w:left="2520" w:hanging="2520"/>
        <w:rPr>
          <w:szCs w:val="22"/>
        </w:rPr>
      </w:pPr>
      <w:r>
        <w:rPr>
          <w:szCs w:val="22"/>
        </w:rPr>
        <w:t>3.</w:t>
      </w:r>
      <w:r>
        <w:rPr>
          <w:szCs w:val="22"/>
        </w:rPr>
        <w:tab/>
        <w:t>Title:</w:t>
      </w:r>
      <w:r>
        <w:rPr>
          <w:szCs w:val="22"/>
        </w:rPr>
        <w:tab/>
      </w:r>
      <w:r w:rsidRPr="006C71F7">
        <w:rPr>
          <w:szCs w:val="22"/>
        </w:rPr>
        <w:t>Sorafenib Therapy in High Risk OLT recipients with HCC</w:t>
      </w:r>
    </w:p>
    <w:p w14:paraId="6A0D96DF" w14:textId="77777777" w:rsidR="006723FB" w:rsidRPr="006C71F7" w:rsidRDefault="006723FB" w:rsidP="006723FB">
      <w:pPr>
        <w:pStyle w:val="DataField11pt-Single"/>
        <w:tabs>
          <w:tab w:val="left" w:pos="360"/>
        </w:tabs>
        <w:ind w:left="2520" w:hanging="2520"/>
        <w:rPr>
          <w:szCs w:val="22"/>
        </w:rPr>
      </w:pPr>
      <w:r>
        <w:rPr>
          <w:szCs w:val="22"/>
        </w:rPr>
        <w:tab/>
        <w:t>Role:</w:t>
      </w:r>
      <w:r>
        <w:rPr>
          <w:szCs w:val="22"/>
        </w:rPr>
        <w:tab/>
      </w:r>
      <w:r w:rsidRPr="006C71F7">
        <w:rPr>
          <w:szCs w:val="22"/>
        </w:rPr>
        <w:t xml:space="preserve">Co-investigator (R. Mark </w:t>
      </w:r>
      <w:proofErr w:type="spellStart"/>
      <w:r w:rsidRPr="006C71F7">
        <w:rPr>
          <w:szCs w:val="22"/>
        </w:rPr>
        <w:t>Ghobrial</w:t>
      </w:r>
      <w:proofErr w:type="spellEnd"/>
      <w:r w:rsidRPr="006C71F7">
        <w:rPr>
          <w:szCs w:val="22"/>
        </w:rPr>
        <w:t>, MD, PhD – site PI)</w:t>
      </w:r>
    </w:p>
    <w:p w14:paraId="14C6D9F5" w14:textId="53D20B01" w:rsidR="006723FB" w:rsidRPr="006C71F7" w:rsidRDefault="006723FB" w:rsidP="00C14B0F">
      <w:pPr>
        <w:pStyle w:val="DataField11pt-Single"/>
        <w:tabs>
          <w:tab w:val="left" w:pos="360"/>
        </w:tabs>
        <w:spacing w:after="120"/>
        <w:ind w:left="2520" w:hanging="2520"/>
        <w:rPr>
          <w:szCs w:val="22"/>
        </w:rPr>
      </w:pPr>
      <w:r>
        <w:rPr>
          <w:szCs w:val="22"/>
        </w:rPr>
        <w:tab/>
      </w:r>
      <w:r w:rsidRPr="006723FB">
        <w:rPr>
          <w:szCs w:val="22"/>
        </w:rPr>
        <w:t>Sponsor</w:t>
      </w:r>
      <w:r>
        <w:rPr>
          <w:szCs w:val="22"/>
        </w:rPr>
        <w:t xml:space="preserve"> (Dates)</w:t>
      </w:r>
      <w:r w:rsidRPr="006723FB">
        <w:rPr>
          <w:szCs w:val="22"/>
        </w:rPr>
        <w:t>:</w:t>
      </w:r>
      <w:r>
        <w:rPr>
          <w:szCs w:val="22"/>
        </w:rPr>
        <w:tab/>
      </w:r>
      <w:r w:rsidRPr="006C71F7">
        <w:rPr>
          <w:szCs w:val="22"/>
        </w:rPr>
        <w:t>Bayer Pharmaceuticals</w:t>
      </w:r>
      <w:r>
        <w:rPr>
          <w:szCs w:val="22"/>
        </w:rPr>
        <w:t xml:space="preserve"> (</w:t>
      </w:r>
      <w:r w:rsidRPr="006C71F7">
        <w:rPr>
          <w:szCs w:val="22"/>
        </w:rPr>
        <w:t>5/10/16-</w:t>
      </w:r>
      <w:r>
        <w:rPr>
          <w:szCs w:val="22"/>
        </w:rPr>
        <w:t>8/23/19)</w:t>
      </w:r>
    </w:p>
    <w:p w14:paraId="5965E95C" w14:textId="1546BBA0" w:rsidR="006723FB" w:rsidRPr="006C71F7" w:rsidRDefault="006723FB" w:rsidP="006723FB">
      <w:pPr>
        <w:pStyle w:val="DataField11pt-Single"/>
        <w:tabs>
          <w:tab w:val="left" w:pos="360"/>
        </w:tabs>
        <w:ind w:left="2520" w:hanging="2520"/>
        <w:rPr>
          <w:szCs w:val="22"/>
        </w:rPr>
      </w:pPr>
      <w:r>
        <w:rPr>
          <w:szCs w:val="22"/>
        </w:rPr>
        <w:t>4.</w:t>
      </w:r>
      <w:r w:rsidRPr="00E16325">
        <w:rPr>
          <w:szCs w:val="22"/>
        </w:rPr>
        <w:t xml:space="preserve"> </w:t>
      </w:r>
      <w:r>
        <w:rPr>
          <w:szCs w:val="22"/>
        </w:rPr>
        <w:tab/>
        <w:t>Title:</w:t>
      </w:r>
      <w:r>
        <w:rPr>
          <w:szCs w:val="22"/>
        </w:rPr>
        <w:tab/>
        <w:t>VTL-308– Alcohol-Induced Liver Decompensation – AILD (1)</w:t>
      </w:r>
    </w:p>
    <w:p w14:paraId="35B65779" w14:textId="77777777" w:rsidR="006723FB" w:rsidRPr="006C71F7" w:rsidRDefault="006723FB" w:rsidP="006723FB">
      <w:pPr>
        <w:pStyle w:val="DataField11pt-Single"/>
        <w:tabs>
          <w:tab w:val="left" w:pos="360"/>
        </w:tabs>
        <w:ind w:left="2520" w:hanging="2520"/>
        <w:rPr>
          <w:szCs w:val="22"/>
        </w:rPr>
      </w:pPr>
      <w:r>
        <w:rPr>
          <w:szCs w:val="22"/>
        </w:rPr>
        <w:tab/>
        <w:t>Role:</w:t>
      </w:r>
      <w:r>
        <w:rPr>
          <w:szCs w:val="22"/>
        </w:rPr>
        <w:tab/>
      </w:r>
      <w:r w:rsidRPr="006C71F7">
        <w:rPr>
          <w:szCs w:val="22"/>
        </w:rPr>
        <w:t>Co-investigator (</w:t>
      </w:r>
      <w:r>
        <w:rPr>
          <w:szCs w:val="22"/>
        </w:rPr>
        <w:t>Constance M. Mobley</w:t>
      </w:r>
      <w:r w:rsidRPr="006C71F7">
        <w:rPr>
          <w:szCs w:val="22"/>
        </w:rPr>
        <w:t>, MD, PhD – site PI)</w:t>
      </w:r>
    </w:p>
    <w:p w14:paraId="401FB849" w14:textId="322BC8F2" w:rsidR="006723FB" w:rsidRPr="006C71F7" w:rsidRDefault="006723FB" w:rsidP="006723FB">
      <w:pPr>
        <w:pStyle w:val="DataField11pt-Single"/>
        <w:tabs>
          <w:tab w:val="left" w:pos="360"/>
        </w:tabs>
        <w:ind w:left="2520" w:hanging="2520"/>
        <w:rPr>
          <w:szCs w:val="22"/>
        </w:rPr>
      </w:pPr>
      <w:r>
        <w:rPr>
          <w:szCs w:val="22"/>
        </w:rPr>
        <w:tab/>
      </w:r>
      <w:r w:rsidRPr="006723FB">
        <w:rPr>
          <w:szCs w:val="22"/>
        </w:rPr>
        <w:t>Sponsor</w:t>
      </w:r>
      <w:r>
        <w:rPr>
          <w:szCs w:val="22"/>
        </w:rPr>
        <w:t xml:space="preserve"> (Dates)</w:t>
      </w:r>
      <w:r w:rsidRPr="006723FB">
        <w:rPr>
          <w:szCs w:val="22"/>
        </w:rPr>
        <w:t>:</w:t>
      </w:r>
      <w:r>
        <w:rPr>
          <w:szCs w:val="22"/>
        </w:rPr>
        <w:tab/>
        <w:t>Vital Therapies (</w:t>
      </w:r>
      <w:r w:rsidRPr="006C71F7">
        <w:rPr>
          <w:szCs w:val="22"/>
        </w:rPr>
        <w:t>5/10/16-</w:t>
      </w:r>
      <w:r>
        <w:rPr>
          <w:szCs w:val="22"/>
        </w:rPr>
        <w:t>8/23/2019)</w:t>
      </w:r>
    </w:p>
    <w:p w14:paraId="7EC0B981" w14:textId="77777777" w:rsidR="006723FB" w:rsidRDefault="006723FB" w:rsidP="006723FB">
      <w:pPr>
        <w:spacing w:before="120"/>
        <w:rPr>
          <w:rStyle w:val="printanswer"/>
          <w:rFonts w:cs="Arial"/>
          <w:szCs w:val="22"/>
        </w:rPr>
      </w:pPr>
      <w:r>
        <w:rPr>
          <w:szCs w:val="22"/>
        </w:rPr>
        <w:t>5.</w:t>
      </w:r>
      <w:r>
        <w:rPr>
          <w:szCs w:val="22"/>
        </w:rPr>
        <w:tab/>
      </w:r>
      <w:r w:rsidR="00BA7C63" w:rsidRPr="006723FB">
        <w:rPr>
          <w:szCs w:val="22"/>
        </w:rPr>
        <w:t xml:space="preserve">Title:        </w:t>
      </w:r>
      <w:r>
        <w:rPr>
          <w:szCs w:val="22"/>
        </w:rPr>
        <w:tab/>
      </w:r>
      <w:r>
        <w:rPr>
          <w:szCs w:val="22"/>
        </w:rPr>
        <w:tab/>
      </w:r>
      <w:r>
        <w:rPr>
          <w:szCs w:val="22"/>
        </w:rPr>
        <w:tab/>
      </w:r>
      <w:r>
        <w:rPr>
          <w:szCs w:val="22"/>
        </w:rPr>
        <w:tab/>
      </w:r>
      <w:r w:rsidR="00BA7C63" w:rsidRPr="006723FB">
        <w:rPr>
          <w:rStyle w:val="printanswer"/>
          <w:rFonts w:cs="Arial"/>
          <w:szCs w:val="22"/>
        </w:rPr>
        <w:t>A Randomized, Global, Double-blind, Placebo-controlled, Parallel-group Study to</w:t>
      </w:r>
    </w:p>
    <w:p w14:paraId="39ED2162" w14:textId="6BE571F5" w:rsidR="00BA7C63" w:rsidRPr="006723FB" w:rsidRDefault="00BA7C63" w:rsidP="006723FB">
      <w:pPr>
        <w:ind w:left="2520"/>
        <w:rPr>
          <w:szCs w:val="22"/>
        </w:rPr>
      </w:pPr>
      <w:r w:rsidRPr="006723FB">
        <w:rPr>
          <w:rStyle w:val="printanswer"/>
          <w:rFonts w:cs="Arial"/>
          <w:szCs w:val="22"/>
        </w:rPr>
        <w:t xml:space="preserve">Evaluate the Efficacy and Safety of Once-daily Oral </w:t>
      </w:r>
      <w:proofErr w:type="spellStart"/>
      <w:r w:rsidRPr="006723FB">
        <w:rPr>
          <w:rStyle w:val="printanswer"/>
          <w:rFonts w:cs="Arial"/>
          <w:szCs w:val="22"/>
        </w:rPr>
        <w:t>Avatrombopag</w:t>
      </w:r>
      <w:proofErr w:type="spellEnd"/>
      <w:r w:rsidRPr="006723FB">
        <w:rPr>
          <w:rStyle w:val="printanswer"/>
          <w:rFonts w:cs="Arial"/>
          <w:szCs w:val="22"/>
        </w:rPr>
        <w:t xml:space="preserve"> for the Treatment of Adults with Thrombocytopenia Associated with Liver Disease Prior to an Elective Procedure</w:t>
      </w:r>
    </w:p>
    <w:p w14:paraId="59267176" w14:textId="2B43713F" w:rsidR="00BA7C63" w:rsidRPr="00BA7C63" w:rsidRDefault="00BA7C63" w:rsidP="00BA7C63">
      <w:pPr>
        <w:ind w:left="360"/>
        <w:jc w:val="both"/>
        <w:rPr>
          <w:szCs w:val="22"/>
        </w:rPr>
      </w:pPr>
      <w:r w:rsidRPr="00BA7C63">
        <w:rPr>
          <w:szCs w:val="22"/>
        </w:rPr>
        <w:t xml:space="preserve">Role:       </w:t>
      </w:r>
      <w:r w:rsidR="006723FB">
        <w:rPr>
          <w:szCs w:val="22"/>
        </w:rPr>
        <w:tab/>
      </w:r>
      <w:r w:rsidR="006723FB">
        <w:rPr>
          <w:szCs w:val="22"/>
        </w:rPr>
        <w:tab/>
      </w:r>
      <w:r w:rsidR="006723FB">
        <w:rPr>
          <w:szCs w:val="22"/>
        </w:rPr>
        <w:tab/>
      </w:r>
      <w:r w:rsidR="006723FB">
        <w:rPr>
          <w:szCs w:val="22"/>
        </w:rPr>
        <w:tab/>
      </w:r>
      <w:r w:rsidRPr="00BA7C63">
        <w:rPr>
          <w:szCs w:val="22"/>
        </w:rPr>
        <w:t xml:space="preserve">Co-Investigator (Ali </w:t>
      </w:r>
      <w:proofErr w:type="spellStart"/>
      <w:r w:rsidRPr="00BA7C63">
        <w:rPr>
          <w:szCs w:val="22"/>
        </w:rPr>
        <w:t>Zarrinpar</w:t>
      </w:r>
      <w:proofErr w:type="spellEnd"/>
      <w:r w:rsidRPr="00BA7C63">
        <w:rPr>
          <w:szCs w:val="22"/>
        </w:rPr>
        <w:t>, MD, PhD – PI)</w:t>
      </w:r>
    </w:p>
    <w:p w14:paraId="2CA0B736" w14:textId="59729805" w:rsidR="00BA7C63" w:rsidRPr="00BA7C63" w:rsidRDefault="006723FB" w:rsidP="006723FB">
      <w:pPr>
        <w:ind w:left="360"/>
        <w:rPr>
          <w:szCs w:val="22"/>
        </w:rPr>
      </w:pPr>
      <w:r w:rsidRPr="006723FB">
        <w:rPr>
          <w:szCs w:val="22"/>
        </w:rPr>
        <w:t>Sponsor</w:t>
      </w:r>
      <w:r>
        <w:rPr>
          <w:szCs w:val="22"/>
        </w:rPr>
        <w:t xml:space="preserve"> (Dates)</w:t>
      </w:r>
      <w:r w:rsidRPr="006723FB">
        <w:rPr>
          <w:szCs w:val="22"/>
        </w:rPr>
        <w:t>:</w:t>
      </w:r>
      <w:r>
        <w:rPr>
          <w:szCs w:val="22"/>
        </w:rPr>
        <w:tab/>
      </w:r>
      <w:r>
        <w:rPr>
          <w:szCs w:val="22"/>
        </w:rPr>
        <w:tab/>
      </w:r>
      <w:r w:rsidR="00BA7C63" w:rsidRPr="00BA7C63">
        <w:rPr>
          <w:szCs w:val="22"/>
        </w:rPr>
        <w:t>Astellas Pharmaceuticals</w:t>
      </w:r>
      <w:r>
        <w:rPr>
          <w:szCs w:val="22"/>
        </w:rPr>
        <w:t xml:space="preserve"> (</w:t>
      </w:r>
      <w:r w:rsidR="00BA7C63" w:rsidRPr="00BA7C63">
        <w:rPr>
          <w:szCs w:val="22"/>
        </w:rPr>
        <w:t>June 2015 – February 2016</w:t>
      </w:r>
      <w:r>
        <w:rPr>
          <w:szCs w:val="22"/>
        </w:rPr>
        <w:t>)</w:t>
      </w:r>
    </w:p>
    <w:p w14:paraId="3C36C7AD" w14:textId="77777777" w:rsidR="006723FB" w:rsidRDefault="00BA7C63" w:rsidP="006723FB">
      <w:pPr>
        <w:pStyle w:val="ListParagraph"/>
        <w:numPr>
          <w:ilvl w:val="0"/>
          <w:numId w:val="26"/>
        </w:numPr>
        <w:spacing w:before="120"/>
        <w:rPr>
          <w:rStyle w:val="printanswer"/>
          <w:rFonts w:cs="Arial"/>
          <w:szCs w:val="22"/>
        </w:rPr>
      </w:pPr>
      <w:r w:rsidRPr="006723FB">
        <w:rPr>
          <w:szCs w:val="22"/>
        </w:rPr>
        <w:t xml:space="preserve">Title:        </w:t>
      </w:r>
      <w:r w:rsidR="006723FB">
        <w:rPr>
          <w:szCs w:val="22"/>
        </w:rPr>
        <w:tab/>
      </w:r>
      <w:r w:rsidR="006723FB">
        <w:rPr>
          <w:szCs w:val="22"/>
        </w:rPr>
        <w:tab/>
      </w:r>
      <w:r w:rsidR="006723FB">
        <w:rPr>
          <w:szCs w:val="22"/>
        </w:rPr>
        <w:tab/>
      </w:r>
      <w:r w:rsidR="006723FB">
        <w:rPr>
          <w:szCs w:val="22"/>
        </w:rPr>
        <w:tab/>
      </w:r>
      <w:r w:rsidRPr="006723FB">
        <w:rPr>
          <w:rStyle w:val="printanswer"/>
          <w:rFonts w:cs="Arial"/>
          <w:szCs w:val="22"/>
        </w:rPr>
        <w:t xml:space="preserve">A Cohort-controlled Study to Evaluate the Efficacy and Safety of Machine Kidney </w:t>
      </w:r>
    </w:p>
    <w:p w14:paraId="6A55A99F" w14:textId="4B9DDB7D" w:rsidR="00BA7C63" w:rsidRPr="006723FB" w:rsidRDefault="00BA7C63" w:rsidP="006723FB">
      <w:pPr>
        <w:pStyle w:val="ListParagraph"/>
        <w:ind w:left="2160" w:firstLine="360"/>
        <w:rPr>
          <w:rStyle w:val="printanswer"/>
          <w:rFonts w:cs="Arial"/>
          <w:szCs w:val="22"/>
        </w:rPr>
      </w:pPr>
      <w:r w:rsidRPr="006723FB">
        <w:rPr>
          <w:rStyle w:val="printanswer"/>
          <w:rFonts w:cs="Arial"/>
          <w:szCs w:val="22"/>
        </w:rPr>
        <w:t>Perfusion in Patients Undergoing Simultaneous Liver and Kidney Transplantation</w:t>
      </w:r>
    </w:p>
    <w:p w14:paraId="7359184B" w14:textId="00D64CD1" w:rsidR="00BA7C63" w:rsidRPr="00BA7C63" w:rsidRDefault="00BA7C63" w:rsidP="00BA7C63">
      <w:pPr>
        <w:ind w:left="360"/>
        <w:jc w:val="both"/>
        <w:rPr>
          <w:szCs w:val="22"/>
        </w:rPr>
      </w:pPr>
      <w:r w:rsidRPr="00BA7C63">
        <w:rPr>
          <w:szCs w:val="22"/>
        </w:rPr>
        <w:t xml:space="preserve">Role:       </w:t>
      </w:r>
      <w:r w:rsidR="006723FB">
        <w:rPr>
          <w:szCs w:val="22"/>
        </w:rPr>
        <w:tab/>
      </w:r>
      <w:r w:rsidR="006723FB">
        <w:rPr>
          <w:szCs w:val="22"/>
        </w:rPr>
        <w:tab/>
      </w:r>
      <w:r w:rsidR="006723FB">
        <w:rPr>
          <w:szCs w:val="22"/>
        </w:rPr>
        <w:tab/>
      </w:r>
      <w:r w:rsidR="006723FB">
        <w:rPr>
          <w:szCs w:val="22"/>
        </w:rPr>
        <w:tab/>
      </w:r>
      <w:r w:rsidRPr="00BA7C63">
        <w:rPr>
          <w:szCs w:val="22"/>
        </w:rPr>
        <w:t xml:space="preserve">Co-Investigator (Ali </w:t>
      </w:r>
      <w:proofErr w:type="spellStart"/>
      <w:r w:rsidRPr="00BA7C63">
        <w:rPr>
          <w:szCs w:val="22"/>
        </w:rPr>
        <w:t>Zarrinpar</w:t>
      </w:r>
      <w:proofErr w:type="spellEnd"/>
      <w:r w:rsidRPr="00BA7C63">
        <w:rPr>
          <w:szCs w:val="22"/>
        </w:rPr>
        <w:t>, MD, PhD – PI)</w:t>
      </w:r>
    </w:p>
    <w:p w14:paraId="494D49A1" w14:textId="6D6A9701" w:rsidR="00BA7C63" w:rsidRPr="006723FB" w:rsidRDefault="006723FB" w:rsidP="006723FB">
      <w:pPr>
        <w:ind w:left="1242" w:hanging="882"/>
        <w:rPr>
          <w:rFonts w:cs="Arial"/>
          <w:szCs w:val="22"/>
        </w:rPr>
      </w:pPr>
      <w:r w:rsidRPr="006723FB">
        <w:rPr>
          <w:szCs w:val="22"/>
        </w:rPr>
        <w:t>Sponsor</w:t>
      </w:r>
      <w:r>
        <w:rPr>
          <w:szCs w:val="22"/>
        </w:rPr>
        <w:t xml:space="preserve"> (Dates)</w:t>
      </w:r>
      <w:r w:rsidRPr="006723FB">
        <w:rPr>
          <w:szCs w:val="22"/>
        </w:rPr>
        <w:t>:</w:t>
      </w:r>
      <w:r>
        <w:rPr>
          <w:rStyle w:val="printanswer"/>
          <w:rFonts w:cs="Arial"/>
          <w:szCs w:val="22"/>
        </w:rPr>
        <w:tab/>
      </w:r>
      <w:r>
        <w:rPr>
          <w:rStyle w:val="printanswer"/>
          <w:rFonts w:cs="Arial"/>
          <w:szCs w:val="22"/>
        </w:rPr>
        <w:tab/>
      </w:r>
      <w:r w:rsidR="00BA7C63" w:rsidRPr="00BA7C63">
        <w:rPr>
          <w:rStyle w:val="printanswer"/>
          <w:rFonts w:cs="Arial"/>
          <w:szCs w:val="22"/>
        </w:rPr>
        <w:t>Organ Recovery Systems</w:t>
      </w:r>
      <w:r>
        <w:rPr>
          <w:rFonts w:cs="Arial"/>
          <w:szCs w:val="22"/>
        </w:rPr>
        <w:t xml:space="preserve"> (</w:t>
      </w:r>
      <w:r w:rsidR="00BA7C63" w:rsidRPr="00BA7C63">
        <w:rPr>
          <w:szCs w:val="22"/>
        </w:rPr>
        <w:t>July 2015 – February 2016</w:t>
      </w:r>
      <w:r>
        <w:rPr>
          <w:szCs w:val="22"/>
        </w:rPr>
        <w:t>)</w:t>
      </w:r>
    </w:p>
    <w:p w14:paraId="5B250EAC" w14:textId="35E564CD" w:rsidR="00BA7C63" w:rsidRPr="00BA7C63" w:rsidRDefault="00BA7C63" w:rsidP="006723FB">
      <w:pPr>
        <w:pStyle w:val="DataField11pt-Single"/>
        <w:tabs>
          <w:tab w:val="left" w:pos="1440"/>
          <w:tab w:val="left" w:pos="2520"/>
          <w:tab w:val="left" w:pos="3600"/>
          <w:tab w:val="left" w:pos="7920"/>
        </w:tabs>
        <w:ind w:left="360"/>
        <w:rPr>
          <w:szCs w:val="22"/>
        </w:rPr>
      </w:pPr>
    </w:p>
    <w:sectPr w:rsidR="00BA7C63" w:rsidRPr="00BA7C63"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A6931" w14:textId="77777777" w:rsidR="000E0D0D" w:rsidRDefault="000E0D0D">
      <w:r>
        <w:separator/>
      </w:r>
    </w:p>
  </w:endnote>
  <w:endnote w:type="continuationSeparator" w:id="0">
    <w:p w14:paraId="6F555DC2" w14:textId="77777777" w:rsidR="000E0D0D" w:rsidRDefault="000E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AdvP7627">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8D2D" w14:textId="77777777" w:rsidR="000E0D0D" w:rsidRDefault="000E0D0D">
      <w:r>
        <w:separator/>
      </w:r>
    </w:p>
  </w:footnote>
  <w:footnote w:type="continuationSeparator" w:id="0">
    <w:p w14:paraId="73344B52" w14:textId="77777777" w:rsidR="000E0D0D" w:rsidRDefault="000E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BE79BB4" w:rsidR="003A10E8" w:rsidRDefault="003A1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7479FC"/>
    <w:multiLevelType w:val="hybridMultilevel"/>
    <w:tmpl w:val="101A0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CD423D"/>
    <w:multiLevelType w:val="hybridMultilevel"/>
    <w:tmpl w:val="BB9E3EAE"/>
    <w:lvl w:ilvl="0" w:tplc="FA7A993C">
      <w:start w:val="1995"/>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55E6C9C"/>
    <w:multiLevelType w:val="hybridMultilevel"/>
    <w:tmpl w:val="E662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665D7"/>
    <w:multiLevelType w:val="hybridMultilevel"/>
    <w:tmpl w:val="79309E92"/>
    <w:lvl w:ilvl="0" w:tplc="72C087FC">
      <w:start w:val="1997"/>
      <w:numFmt w:val="decimal"/>
      <w:lvlText w:val="%1"/>
      <w:lvlJc w:val="left"/>
      <w:pPr>
        <w:tabs>
          <w:tab w:val="num" w:pos="2520"/>
        </w:tabs>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8181E"/>
    <w:multiLevelType w:val="hybridMultilevel"/>
    <w:tmpl w:val="8766E4F4"/>
    <w:lvl w:ilvl="0" w:tplc="0409000F">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D518F7"/>
    <w:multiLevelType w:val="hybridMultilevel"/>
    <w:tmpl w:val="695C4A94"/>
    <w:lvl w:ilvl="0" w:tplc="32CE0730">
      <w:start w:val="2000"/>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FF51B1"/>
    <w:multiLevelType w:val="hybridMultilevel"/>
    <w:tmpl w:val="9EE68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0E1FE7"/>
    <w:multiLevelType w:val="hybridMultilevel"/>
    <w:tmpl w:val="8F262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08018A"/>
    <w:multiLevelType w:val="multilevel"/>
    <w:tmpl w:val="4F90A664"/>
    <w:lvl w:ilvl="0">
      <w:start w:val="2000"/>
      <w:numFmt w:val="decimal"/>
      <w:lvlText w:val="%1"/>
      <w:lvlJc w:val="left"/>
      <w:pPr>
        <w:tabs>
          <w:tab w:val="num" w:pos="2160"/>
        </w:tabs>
        <w:ind w:left="2160" w:hanging="2160"/>
      </w:pPr>
      <w:rPr>
        <w:rFonts w:hint="default"/>
      </w:rPr>
    </w:lvl>
    <w:lvl w:ilvl="1">
      <w:start w:val="2001"/>
      <w:numFmt w:val="decimal"/>
      <w:lvlText w:val="%1-%2"/>
      <w:lvlJc w:val="left"/>
      <w:pPr>
        <w:tabs>
          <w:tab w:val="num" w:pos="2520"/>
        </w:tabs>
        <w:ind w:left="2520" w:hanging="2160"/>
      </w:pPr>
      <w:rPr>
        <w:rFonts w:hint="default"/>
      </w:rPr>
    </w:lvl>
    <w:lvl w:ilvl="2">
      <w:start w:val="1"/>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A3E1384"/>
    <w:multiLevelType w:val="multilevel"/>
    <w:tmpl w:val="4F90A664"/>
    <w:lvl w:ilvl="0">
      <w:start w:val="2000"/>
      <w:numFmt w:val="decimal"/>
      <w:lvlText w:val="%1"/>
      <w:lvlJc w:val="left"/>
      <w:pPr>
        <w:tabs>
          <w:tab w:val="num" w:pos="2160"/>
        </w:tabs>
        <w:ind w:left="2160" w:hanging="2160"/>
      </w:pPr>
      <w:rPr>
        <w:rFonts w:hint="default"/>
      </w:rPr>
    </w:lvl>
    <w:lvl w:ilvl="1">
      <w:start w:val="2001"/>
      <w:numFmt w:val="decimal"/>
      <w:lvlText w:val="%1-%2"/>
      <w:lvlJc w:val="left"/>
      <w:pPr>
        <w:tabs>
          <w:tab w:val="num" w:pos="2520"/>
        </w:tabs>
        <w:ind w:left="2520" w:hanging="2160"/>
      </w:pPr>
      <w:rPr>
        <w:rFonts w:hint="default"/>
      </w:rPr>
    </w:lvl>
    <w:lvl w:ilvl="2">
      <w:start w:val="1"/>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40720A80"/>
    <w:multiLevelType w:val="hybridMultilevel"/>
    <w:tmpl w:val="8B6E60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D238F"/>
    <w:multiLevelType w:val="multilevel"/>
    <w:tmpl w:val="BFB8A07E"/>
    <w:lvl w:ilvl="0">
      <w:start w:val="1997"/>
      <w:numFmt w:val="decimal"/>
      <w:lvlText w:val="%1"/>
      <w:lvlJc w:val="left"/>
      <w:pPr>
        <w:tabs>
          <w:tab w:val="num" w:pos="960"/>
        </w:tabs>
        <w:ind w:left="960" w:hanging="960"/>
      </w:pPr>
      <w:rPr>
        <w:rFonts w:hint="default"/>
      </w:rPr>
    </w:lvl>
    <w:lvl w:ilvl="1">
      <w:start w:val="1998"/>
      <w:numFmt w:val="decimal"/>
      <w:lvlText w:val="%1-%2"/>
      <w:lvlJc w:val="left"/>
      <w:pPr>
        <w:tabs>
          <w:tab w:val="num" w:pos="1320"/>
        </w:tabs>
        <w:ind w:left="1320" w:hanging="960"/>
      </w:pPr>
      <w:rPr>
        <w:rFonts w:hint="default"/>
      </w:rPr>
    </w:lvl>
    <w:lvl w:ilvl="2">
      <w:start w:val="1"/>
      <w:numFmt w:val="decimal"/>
      <w:lvlText w:val="%1-%2.%3"/>
      <w:lvlJc w:val="left"/>
      <w:pPr>
        <w:tabs>
          <w:tab w:val="num" w:pos="1680"/>
        </w:tabs>
        <w:ind w:left="1680" w:hanging="960"/>
      </w:pPr>
      <w:rPr>
        <w:rFonts w:hint="default"/>
      </w:rPr>
    </w:lvl>
    <w:lvl w:ilvl="3">
      <w:start w:val="1"/>
      <w:numFmt w:val="decimal"/>
      <w:lvlText w:val="%1-%2.%3.%4"/>
      <w:lvlJc w:val="left"/>
      <w:pPr>
        <w:tabs>
          <w:tab w:val="num" w:pos="2040"/>
        </w:tabs>
        <w:ind w:left="2040" w:hanging="9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4F98339B"/>
    <w:multiLevelType w:val="hybridMultilevel"/>
    <w:tmpl w:val="DD1E77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ED4C26"/>
    <w:multiLevelType w:val="hybridMultilevel"/>
    <w:tmpl w:val="387C53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4594E"/>
    <w:multiLevelType w:val="hybridMultilevel"/>
    <w:tmpl w:val="735056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803D3F"/>
    <w:multiLevelType w:val="multilevel"/>
    <w:tmpl w:val="BE626584"/>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520"/>
        </w:tabs>
        <w:ind w:left="2520" w:hanging="2160"/>
      </w:pPr>
      <w:rPr>
        <w:rFonts w:hint="default"/>
      </w:rPr>
    </w:lvl>
    <w:lvl w:ilvl="2">
      <w:start w:val="1"/>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9C49D0"/>
    <w:multiLevelType w:val="hybridMultilevel"/>
    <w:tmpl w:val="0376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76394958"/>
    <w:multiLevelType w:val="hybridMultilevel"/>
    <w:tmpl w:val="9D10082C"/>
    <w:lvl w:ilvl="0" w:tplc="72C087FC">
      <w:start w:val="1997"/>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9A1D5A"/>
    <w:multiLevelType w:val="multilevel"/>
    <w:tmpl w:val="E662D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5"/>
  </w:num>
  <w:num w:numId="13">
    <w:abstractNumId w:val="13"/>
  </w:num>
  <w:num w:numId="14">
    <w:abstractNumId w:val="33"/>
  </w:num>
  <w:num w:numId="15">
    <w:abstractNumId w:val="28"/>
  </w:num>
  <w:num w:numId="16">
    <w:abstractNumId w:val="31"/>
  </w:num>
  <w:num w:numId="17">
    <w:abstractNumId w:val="10"/>
  </w:num>
  <w:num w:numId="18">
    <w:abstractNumId w:val="20"/>
  </w:num>
  <w:num w:numId="19">
    <w:abstractNumId w:val="34"/>
  </w:num>
  <w:num w:numId="20">
    <w:abstractNumId w:val="17"/>
  </w:num>
  <w:num w:numId="21">
    <w:abstractNumId w:val="21"/>
  </w:num>
  <w:num w:numId="22">
    <w:abstractNumId w:val="30"/>
  </w:num>
  <w:num w:numId="23">
    <w:abstractNumId w:val="24"/>
  </w:num>
  <w:num w:numId="24">
    <w:abstractNumId w:val="12"/>
  </w:num>
  <w:num w:numId="25">
    <w:abstractNumId w:val="15"/>
  </w:num>
  <w:num w:numId="26">
    <w:abstractNumId w:val="29"/>
  </w:num>
  <w:num w:numId="27">
    <w:abstractNumId w:val="26"/>
  </w:num>
  <w:num w:numId="28">
    <w:abstractNumId w:val="19"/>
  </w:num>
  <w:num w:numId="29">
    <w:abstractNumId w:val="18"/>
  </w:num>
  <w:num w:numId="30">
    <w:abstractNumId w:val="22"/>
  </w:num>
  <w:num w:numId="31">
    <w:abstractNumId w:val="27"/>
  </w:num>
  <w:num w:numId="32">
    <w:abstractNumId w:val="11"/>
  </w:num>
  <w:num w:numId="33">
    <w:abstractNumId w:val="32"/>
  </w:num>
  <w:num w:numId="34">
    <w:abstractNumId w:val="14"/>
  </w:num>
  <w:num w:numId="35">
    <w:abstractNumId w:val="35"/>
  </w:num>
  <w:num w:numId="36">
    <w:abstractNumId w:val="1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7231"/>
    <w:rsid w:val="00020F4B"/>
    <w:rsid w:val="00023A7A"/>
    <w:rsid w:val="00066BEC"/>
    <w:rsid w:val="00067621"/>
    <w:rsid w:val="00084466"/>
    <w:rsid w:val="000E0D0D"/>
    <w:rsid w:val="000E3BEC"/>
    <w:rsid w:val="00122EB3"/>
    <w:rsid w:val="00132CA6"/>
    <w:rsid w:val="0014571A"/>
    <w:rsid w:val="001551EB"/>
    <w:rsid w:val="00170D87"/>
    <w:rsid w:val="00177D49"/>
    <w:rsid w:val="0019102A"/>
    <w:rsid w:val="001A78C0"/>
    <w:rsid w:val="001C065C"/>
    <w:rsid w:val="002506F6"/>
    <w:rsid w:val="0028051C"/>
    <w:rsid w:val="002B7443"/>
    <w:rsid w:val="002D7520"/>
    <w:rsid w:val="002E5125"/>
    <w:rsid w:val="002E671A"/>
    <w:rsid w:val="00321A19"/>
    <w:rsid w:val="0035045F"/>
    <w:rsid w:val="0037667F"/>
    <w:rsid w:val="00382AB6"/>
    <w:rsid w:val="00383712"/>
    <w:rsid w:val="00394477"/>
    <w:rsid w:val="003A10E8"/>
    <w:rsid w:val="003C2647"/>
    <w:rsid w:val="003C62D6"/>
    <w:rsid w:val="003D2399"/>
    <w:rsid w:val="003E4A92"/>
    <w:rsid w:val="003F6A45"/>
    <w:rsid w:val="0041584F"/>
    <w:rsid w:val="00432346"/>
    <w:rsid w:val="00447F3A"/>
    <w:rsid w:val="004759D9"/>
    <w:rsid w:val="0049068A"/>
    <w:rsid w:val="004A3FC8"/>
    <w:rsid w:val="004D287C"/>
    <w:rsid w:val="004F4CA5"/>
    <w:rsid w:val="00503B57"/>
    <w:rsid w:val="005145BB"/>
    <w:rsid w:val="00517BFD"/>
    <w:rsid w:val="00523FB1"/>
    <w:rsid w:val="005327D1"/>
    <w:rsid w:val="0054471F"/>
    <w:rsid w:val="005461F3"/>
    <w:rsid w:val="00547118"/>
    <w:rsid w:val="00547AC9"/>
    <w:rsid w:val="005657ED"/>
    <w:rsid w:val="00592740"/>
    <w:rsid w:val="005C2BDD"/>
    <w:rsid w:val="005C2CF8"/>
    <w:rsid w:val="005C47A8"/>
    <w:rsid w:val="005E406E"/>
    <w:rsid w:val="005F5F51"/>
    <w:rsid w:val="00601C69"/>
    <w:rsid w:val="0060293C"/>
    <w:rsid w:val="00616BCC"/>
    <w:rsid w:val="00624261"/>
    <w:rsid w:val="00646AF9"/>
    <w:rsid w:val="00656AB8"/>
    <w:rsid w:val="006609B6"/>
    <w:rsid w:val="006723FB"/>
    <w:rsid w:val="0068699D"/>
    <w:rsid w:val="0069214A"/>
    <w:rsid w:val="006A353C"/>
    <w:rsid w:val="006A56FC"/>
    <w:rsid w:val="006A692A"/>
    <w:rsid w:val="006B2D1C"/>
    <w:rsid w:val="006C1E1F"/>
    <w:rsid w:val="006E6FB5"/>
    <w:rsid w:val="006F44BC"/>
    <w:rsid w:val="007050F5"/>
    <w:rsid w:val="0071140F"/>
    <w:rsid w:val="00722C8F"/>
    <w:rsid w:val="007425EA"/>
    <w:rsid w:val="007473E0"/>
    <w:rsid w:val="00763DE9"/>
    <w:rsid w:val="00781234"/>
    <w:rsid w:val="0079171D"/>
    <w:rsid w:val="007B7AF3"/>
    <w:rsid w:val="007E6F79"/>
    <w:rsid w:val="00806058"/>
    <w:rsid w:val="008073EB"/>
    <w:rsid w:val="00807AB2"/>
    <w:rsid w:val="00843027"/>
    <w:rsid w:val="00870FBE"/>
    <w:rsid w:val="00874EBC"/>
    <w:rsid w:val="008C253C"/>
    <w:rsid w:val="008E5110"/>
    <w:rsid w:val="00906B0D"/>
    <w:rsid w:val="009211D3"/>
    <w:rsid w:val="00933173"/>
    <w:rsid w:val="00934124"/>
    <w:rsid w:val="00940E3E"/>
    <w:rsid w:val="00952A27"/>
    <w:rsid w:val="00977FA5"/>
    <w:rsid w:val="00991688"/>
    <w:rsid w:val="009A79BD"/>
    <w:rsid w:val="009D0C9E"/>
    <w:rsid w:val="009D7E97"/>
    <w:rsid w:val="009E52CA"/>
    <w:rsid w:val="009F0FC6"/>
    <w:rsid w:val="009F72E5"/>
    <w:rsid w:val="00A01F82"/>
    <w:rsid w:val="00A03FFA"/>
    <w:rsid w:val="00A04942"/>
    <w:rsid w:val="00A04B52"/>
    <w:rsid w:val="00A13DA6"/>
    <w:rsid w:val="00A1469B"/>
    <w:rsid w:val="00A14EF5"/>
    <w:rsid w:val="00A26D0F"/>
    <w:rsid w:val="00A37D3F"/>
    <w:rsid w:val="00A42D9B"/>
    <w:rsid w:val="00A55D1D"/>
    <w:rsid w:val="00A63D7C"/>
    <w:rsid w:val="00A67BF5"/>
    <w:rsid w:val="00A7514C"/>
    <w:rsid w:val="00A8122C"/>
    <w:rsid w:val="00A83312"/>
    <w:rsid w:val="00AE41C4"/>
    <w:rsid w:val="00B9722E"/>
    <w:rsid w:val="00BA3998"/>
    <w:rsid w:val="00BA7C63"/>
    <w:rsid w:val="00BC1163"/>
    <w:rsid w:val="00C05C55"/>
    <w:rsid w:val="00C076C6"/>
    <w:rsid w:val="00C1247F"/>
    <w:rsid w:val="00C137DA"/>
    <w:rsid w:val="00C14B0F"/>
    <w:rsid w:val="00C3113F"/>
    <w:rsid w:val="00C4536F"/>
    <w:rsid w:val="00C46ADA"/>
    <w:rsid w:val="00C71256"/>
    <w:rsid w:val="00C85025"/>
    <w:rsid w:val="00C918BD"/>
    <w:rsid w:val="00C94E59"/>
    <w:rsid w:val="00CA680A"/>
    <w:rsid w:val="00CD771B"/>
    <w:rsid w:val="00CD7A70"/>
    <w:rsid w:val="00CE0951"/>
    <w:rsid w:val="00CF68A2"/>
    <w:rsid w:val="00D3779E"/>
    <w:rsid w:val="00D47E6D"/>
    <w:rsid w:val="00D62E78"/>
    <w:rsid w:val="00D63249"/>
    <w:rsid w:val="00D63CC5"/>
    <w:rsid w:val="00D679E5"/>
    <w:rsid w:val="00D74391"/>
    <w:rsid w:val="00D83360"/>
    <w:rsid w:val="00D91D3C"/>
    <w:rsid w:val="00D920C6"/>
    <w:rsid w:val="00DB7B85"/>
    <w:rsid w:val="00DD31B4"/>
    <w:rsid w:val="00DD5861"/>
    <w:rsid w:val="00DF105C"/>
    <w:rsid w:val="00DF7645"/>
    <w:rsid w:val="00E047AD"/>
    <w:rsid w:val="00E109DF"/>
    <w:rsid w:val="00E127A1"/>
    <w:rsid w:val="00E20E6D"/>
    <w:rsid w:val="00E21A04"/>
    <w:rsid w:val="00E355C2"/>
    <w:rsid w:val="00E53B95"/>
    <w:rsid w:val="00E67A05"/>
    <w:rsid w:val="00E74AB7"/>
    <w:rsid w:val="00E81FE1"/>
    <w:rsid w:val="00E860C8"/>
    <w:rsid w:val="00E90203"/>
    <w:rsid w:val="00E95C45"/>
    <w:rsid w:val="00EA0405"/>
    <w:rsid w:val="00EB0BD5"/>
    <w:rsid w:val="00ED35D7"/>
    <w:rsid w:val="00EF4C32"/>
    <w:rsid w:val="00EF69CD"/>
    <w:rsid w:val="00F02126"/>
    <w:rsid w:val="00F07AB3"/>
    <w:rsid w:val="00F1194D"/>
    <w:rsid w:val="00F25E57"/>
    <w:rsid w:val="00F262AB"/>
    <w:rsid w:val="00F42410"/>
    <w:rsid w:val="00F557AE"/>
    <w:rsid w:val="00F7284D"/>
    <w:rsid w:val="00F85C08"/>
    <w:rsid w:val="00FA00C6"/>
    <w:rsid w:val="00FB59F6"/>
    <w:rsid w:val="00FC6118"/>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271EA32D-54B0-A447-8BA8-4DEDE919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BlockText">
    <w:name w:val="Block Text"/>
    <w:basedOn w:val="Normal"/>
    <w:rsid w:val="004D287C"/>
    <w:pPr>
      <w:tabs>
        <w:tab w:val="left" w:pos="2520"/>
      </w:tabs>
      <w:autoSpaceDE/>
      <w:autoSpaceDN/>
      <w:ind w:left="2520" w:right="288" w:hanging="2160"/>
      <w:jc w:val="both"/>
    </w:pPr>
    <w:rPr>
      <w:rFonts w:eastAsia="Times"/>
      <w:noProof/>
      <w:sz w:val="20"/>
      <w:szCs w:val="20"/>
    </w:rPr>
  </w:style>
  <w:style w:type="paragraph" w:styleId="ListParagraph">
    <w:name w:val="List Paragraph"/>
    <w:basedOn w:val="Normal"/>
    <w:uiPriority w:val="34"/>
    <w:qFormat/>
    <w:rsid w:val="00DF105C"/>
    <w:pPr>
      <w:ind w:left="720"/>
      <w:contextualSpacing/>
    </w:pPr>
  </w:style>
  <w:style w:type="paragraph" w:styleId="TOAHeading">
    <w:name w:val="toa heading"/>
    <w:basedOn w:val="Normal"/>
    <w:next w:val="Normal"/>
    <w:rsid w:val="00D920C6"/>
    <w:pPr>
      <w:tabs>
        <w:tab w:val="right" w:pos="9360"/>
      </w:tabs>
      <w:suppressAutoHyphens/>
    </w:pPr>
    <w:rPr>
      <w:rFonts w:ascii="Courier New" w:hAnsi="Courier New"/>
      <w:sz w:val="20"/>
      <w:szCs w:val="20"/>
    </w:rPr>
  </w:style>
  <w:style w:type="character" w:styleId="FollowedHyperlink">
    <w:name w:val="FollowedHyperlink"/>
    <w:basedOn w:val="DefaultParagraphFont"/>
    <w:rsid w:val="00E860C8"/>
    <w:rPr>
      <w:color w:val="954F72" w:themeColor="followedHyperlink"/>
      <w:u w:val="single"/>
    </w:rPr>
  </w:style>
  <w:style w:type="character" w:customStyle="1" w:styleId="printanswer">
    <w:name w:val="printanswer"/>
    <w:rsid w:val="00BA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bi.nlm.nih.gov/sites/myncbi/1FcY9vf2X1VkJ/bibliography/47893314/public/?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20434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Lunsford, Keri M.D.</cp:lastModifiedBy>
  <cp:revision>2</cp:revision>
  <cp:lastPrinted>2019-10-17T19:34:00Z</cp:lastPrinted>
  <dcterms:created xsi:type="dcterms:W3CDTF">2019-10-17T20:51:00Z</dcterms:created>
  <dcterms:modified xsi:type="dcterms:W3CDTF">2019-10-17T20:51:00Z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